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D7C" w:rsidRDefault="00A77D7C" w:rsidP="00ED5D91">
      <w:pPr>
        <w:ind w:left="426"/>
        <w:jc w:val="center"/>
        <w:rPr>
          <w:rFonts w:ascii="Arial" w:hAnsi="Arial" w:cs="Arial"/>
          <w:b/>
          <w:sz w:val="28"/>
          <w:szCs w:val="28"/>
          <w:lang w:eastAsia="hr-BA"/>
        </w:rPr>
      </w:pPr>
      <w:bookmarkStart w:id="0" w:name="_GoBack"/>
      <w:bookmarkEnd w:id="0"/>
      <w:r w:rsidRPr="0090337E">
        <w:rPr>
          <w:rFonts w:ascii="Arial" w:hAnsi="Arial" w:cs="Arial"/>
          <w:b/>
          <w:sz w:val="28"/>
          <w:szCs w:val="28"/>
        </w:rPr>
        <w:t>Aktivnosti Ministarstva sigurnosti BiH u koordinaciji zaštite i spašavanja</w:t>
      </w:r>
      <w:r w:rsidR="00ED5D91">
        <w:rPr>
          <w:rFonts w:ascii="Arial" w:hAnsi="Arial" w:cs="Arial"/>
          <w:b/>
          <w:sz w:val="28"/>
          <w:szCs w:val="28"/>
        </w:rPr>
        <w:t xml:space="preserve"> tokom poplava u maju i junu 2014. godine</w:t>
      </w:r>
    </w:p>
    <w:p w:rsidR="00A77D7C" w:rsidRPr="0090337E" w:rsidRDefault="00A77D7C" w:rsidP="00ED5D91">
      <w:pPr>
        <w:ind w:left="426"/>
        <w:jc w:val="center"/>
        <w:rPr>
          <w:rFonts w:ascii="Arial" w:hAnsi="Arial" w:cs="Arial"/>
          <w:b/>
          <w:sz w:val="28"/>
          <w:szCs w:val="28"/>
          <w:lang w:eastAsia="hr-BA"/>
        </w:rPr>
      </w:pPr>
    </w:p>
    <w:p w:rsidR="00A77D7C" w:rsidRPr="00A77D7C" w:rsidRDefault="00A77D7C" w:rsidP="00A77D7C">
      <w:pPr>
        <w:spacing w:before="120"/>
        <w:rPr>
          <w:rFonts w:ascii="Arial" w:hAnsi="Arial" w:cs="Arial"/>
          <w:b/>
        </w:rPr>
      </w:pPr>
      <w:r w:rsidRPr="00A77D7C">
        <w:rPr>
          <w:rFonts w:ascii="Arial" w:hAnsi="Arial" w:cs="Arial"/>
          <w:b/>
        </w:rPr>
        <w:t xml:space="preserve">Realizacija sistemskih poslova Ministarstva sigurnosti BiH </w:t>
      </w:r>
    </w:p>
    <w:p w:rsidR="00A77D7C" w:rsidRPr="00AA7E1E" w:rsidRDefault="00A77D7C" w:rsidP="00A77D7C">
      <w:pPr>
        <w:pStyle w:val="ListParagraph"/>
        <w:numPr>
          <w:ilvl w:val="0"/>
          <w:numId w:val="0"/>
        </w:numPr>
        <w:spacing w:before="120"/>
        <w:contextualSpacing w:val="0"/>
      </w:pPr>
      <w:r w:rsidRPr="00AA7E1E">
        <w:t xml:space="preserve">Ministarstvo sigurnosti Bosne i Hercegovine u provođenju mjera odgovora na nastalu nesreću usljed poplava postupa po Okvirnom zakonu o zaštiti i spašavanju ljudi i materijalnih dobara od prirodnih ili drugih nesreća u Bosni i Hercegovini. </w:t>
      </w:r>
    </w:p>
    <w:p w:rsidR="00A77D7C" w:rsidRDefault="00A77D7C" w:rsidP="00A77D7C">
      <w:pPr>
        <w:pStyle w:val="ListParagraph"/>
        <w:numPr>
          <w:ilvl w:val="0"/>
          <w:numId w:val="0"/>
        </w:numPr>
        <w:spacing w:before="120"/>
        <w:contextualSpacing w:val="0"/>
      </w:pPr>
      <w:r w:rsidRPr="00AA7E1E">
        <w:t>Okvirni zakon o zaštiti i spašavanju ljudi i materijalnih dobara od prirodnih ili drugih nesreća u Bosni i Hercegovini („Službeni glasnik BiH“, br. 50/08) nalaže da koordinaciju poslova zaštite i spašavanja u BiH vrši Ministarstvo sigurnosti BiH, te s tim u vezi da nadležne institucije i organi BiH, entiteta i Brčko Distrikta BiHdostavljaju i razmjenjuju informacije sa Ministarstvom sigurnosti BiH, nosiocem koordinacije (čl.</w:t>
      </w:r>
      <w:r>
        <w:t xml:space="preserve"> 11 i 12.).</w:t>
      </w:r>
    </w:p>
    <w:p w:rsidR="00A77D7C" w:rsidRDefault="00A77D7C" w:rsidP="00A77D7C">
      <w:pPr>
        <w:pStyle w:val="ListParagraph"/>
        <w:numPr>
          <w:ilvl w:val="0"/>
          <w:numId w:val="0"/>
        </w:numPr>
        <w:spacing w:before="120"/>
        <w:contextualSpacing w:val="0"/>
      </w:pPr>
      <w:r>
        <w:t>Poslovi koordinacije iz nadležnosti Ministarstva sigurnosti BiH uključivali su sljedeće provođene aktivnosti:</w:t>
      </w:r>
    </w:p>
    <w:p w:rsidR="00A77D7C" w:rsidRPr="00AA7E1E" w:rsidRDefault="00A77D7C" w:rsidP="00A77D7C">
      <w:pPr>
        <w:pStyle w:val="ListParagraph"/>
        <w:numPr>
          <w:ilvl w:val="0"/>
          <w:numId w:val="4"/>
        </w:numPr>
        <w:spacing w:before="120"/>
        <w:ind w:left="284" w:hanging="284"/>
        <w:contextualSpacing w:val="0"/>
      </w:pPr>
      <w:r>
        <w:rPr>
          <w:rFonts w:cs="Arial"/>
        </w:rPr>
        <w:t>unutardržavnu komunikaciju i koordinaciju pomoći nadležnih institucija, kao i nevladinih organizacija strukturama civilne zaštite na pogođenim područjima,</w:t>
      </w:r>
    </w:p>
    <w:p w:rsidR="00A77D7C" w:rsidRPr="00AA7E1E" w:rsidRDefault="00A77D7C" w:rsidP="00A77D7C">
      <w:pPr>
        <w:pStyle w:val="ListParagraph"/>
        <w:numPr>
          <w:ilvl w:val="0"/>
          <w:numId w:val="4"/>
        </w:numPr>
        <w:spacing w:before="120"/>
        <w:ind w:left="284" w:hanging="284"/>
        <w:contextualSpacing w:val="0"/>
      </w:pPr>
      <w:r>
        <w:rPr>
          <w:rFonts w:cs="Arial"/>
        </w:rPr>
        <w:t>c</w:t>
      </w:r>
      <w:r w:rsidRPr="00AA7E1E">
        <w:rPr>
          <w:rFonts w:cs="Arial"/>
        </w:rPr>
        <w:t>ivilno – vojnu komunikaciju i koordinaciju pomoći Oružanih snaga BiH civilnim strukturama na pogođenim područjima,</w:t>
      </w:r>
    </w:p>
    <w:p w:rsidR="00A77D7C" w:rsidRPr="00AA7E1E" w:rsidRDefault="00A77D7C" w:rsidP="00A77D7C">
      <w:pPr>
        <w:pStyle w:val="ListParagraph"/>
        <w:numPr>
          <w:ilvl w:val="0"/>
          <w:numId w:val="4"/>
        </w:numPr>
        <w:spacing w:before="120"/>
        <w:ind w:left="284" w:hanging="284"/>
        <w:contextualSpacing w:val="0"/>
      </w:pPr>
      <w:r>
        <w:rPr>
          <w:rFonts w:cs="Arial"/>
        </w:rPr>
        <w:t>međunarodnu komunikaciju i koordinaciju prijema tražene/ ponuđene međunarodne pomoći.</w:t>
      </w:r>
    </w:p>
    <w:p w:rsidR="00A77D7C" w:rsidRDefault="00A77D7C" w:rsidP="00A77D7C">
      <w:pPr>
        <w:pStyle w:val="ListParagraph"/>
        <w:numPr>
          <w:ilvl w:val="0"/>
          <w:numId w:val="0"/>
        </w:numPr>
        <w:spacing w:before="120"/>
        <w:contextualSpacing w:val="0"/>
        <w:rPr>
          <w:rFonts w:cs="Arial"/>
        </w:rPr>
      </w:pPr>
      <w:r>
        <w:rPr>
          <w:rFonts w:cs="Arial"/>
        </w:rPr>
        <w:t>Navedene aktivnosti su po Okvirnom zakonu o zaštiti i spašavanju trebale biti u većoj mjeri provođene kroz rad Koordinacijskog tijela BiH za zaštitu i spašavanje, kao stručnog operativnog tijela Vijeća ministara Bosne i Hercegovine. Rad ovog tijela bio je opterećen uticajem politike zbog čega nije mogao održati nijednu vanrednu sjednicu u periodu na koji se odnosi ova Informacija. U izostanku njegovog aktiviranja i djelovanja, poslove i izvršavanje zadataka koordinacije zaštite i spašavanja preuzelo je Ministarstvo sigurnosti BiH (Sektor za zaštitu i spašavanje) sa Operativno – komunikacijskim centrom BiH – 112.</w:t>
      </w:r>
    </w:p>
    <w:p w:rsidR="00A77D7C" w:rsidRDefault="00A77D7C" w:rsidP="00A77D7C">
      <w:pPr>
        <w:pStyle w:val="ListParagraph"/>
        <w:numPr>
          <w:ilvl w:val="0"/>
          <w:numId w:val="0"/>
        </w:numPr>
        <w:spacing w:before="120"/>
        <w:contextualSpacing w:val="0"/>
        <w:rPr>
          <w:rFonts w:cs="Arial"/>
        </w:rPr>
      </w:pPr>
      <w:r>
        <w:rPr>
          <w:rFonts w:cs="Arial"/>
        </w:rPr>
        <w:t>U nastavku ove Informacije predstavljen je rezultat rada u koordinaciji pomoći, odnosno:</w:t>
      </w:r>
    </w:p>
    <w:p w:rsidR="00A77D7C" w:rsidRPr="007E5276" w:rsidRDefault="00A77D7C" w:rsidP="00A77D7C">
      <w:pPr>
        <w:pStyle w:val="ListParagraph"/>
        <w:numPr>
          <w:ilvl w:val="0"/>
          <w:numId w:val="5"/>
        </w:numPr>
        <w:spacing w:before="120"/>
        <w:ind w:left="284" w:hanging="284"/>
        <w:contextualSpacing w:val="0"/>
      </w:pPr>
      <w:r w:rsidRPr="004652E7">
        <w:rPr>
          <w:rFonts w:cs="Arial"/>
          <w:b/>
          <w:i/>
        </w:rPr>
        <w:t>Unutardržavna komunikacija i koordinacija pomoći nadležnih institucija, kao i nevladinih organizacija strukturama civilne zaštite na pogođenim područjima</w:t>
      </w:r>
      <w:r>
        <w:rPr>
          <w:rFonts w:cs="Arial"/>
        </w:rPr>
        <w:t>.</w:t>
      </w:r>
    </w:p>
    <w:p w:rsidR="00A77D7C" w:rsidRDefault="00A77D7C" w:rsidP="00A77D7C">
      <w:pPr>
        <w:pStyle w:val="ListParagraph"/>
        <w:numPr>
          <w:ilvl w:val="0"/>
          <w:numId w:val="0"/>
        </w:numPr>
        <w:spacing w:before="120"/>
        <w:ind w:left="284"/>
        <w:contextualSpacing w:val="0"/>
        <w:rPr>
          <w:rFonts w:cs="Arial"/>
        </w:rPr>
      </w:pPr>
      <w:r>
        <w:rPr>
          <w:rFonts w:cs="Arial"/>
        </w:rPr>
        <w:t>U danima koji su prethodili intenzivnim operacijama spašavanja provođena je redovna komunikacija među domaćim i sa međ</w:t>
      </w:r>
      <w:r w:rsidR="00836840">
        <w:rPr>
          <w:rFonts w:cs="Arial"/>
        </w:rPr>
        <w:t>unarodnim akterima i dostavljan</w:t>
      </w:r>
      <w:r>
        <w:rPr>
          <w:rFonts w:cs="Arial"/>
        </w:rPr>
        <w:t>e obavijesti o nesreći, zahtjev</w:t>
      </w:r>
      <w:r w:rsidR="00836840">
        <w:rPr>
          <w:rFonts w:cs="Arial"/>
        </w:rPr>
        <w:t>i</w:t>
      </w:r>
      <w:r>
        <w:rPr>
          <w:rFonts w:cs="Arial"/>
        </w:rPr>
        <w:t xml:space="preserve"> za pomoć i izvještaj</w:t>
      </w:r>
      <w:r w:rsidR="00836840">
        <w:rPr>
          <w:rFonts w:cs="Arial"/>
        </w:rPr>
        <w:t>i</w:t>
      </w:r>
      <w:r>
        <w:rPr>
          <w:rFonts w:cs="Arial"/>
        </w:rPr>
        <w:t xml:space="preserve"> o situaciji preko operativnih centara civilne zaštite. U prostorijama OKC BiH- 112, </w:t>
      </w:r>
      <w:r w:rsidR="00836840">
        <w:rPr>
          <w:rFonts w:cs="Arial"/>
        </w:rPr>
        <w:t>koji radi</w:t>
      </w:r>
      <w:r>
        <w:rPr>
          <w:rFonts w:cs="Arial"/>
        </w:rPr>
        <w:t xml:space="preserve"> (24/7), bili su </w:t>
      </w:r>
      <w:r w:rsidR="00836840">
        <w:rPr>
          <w:rFonts w:cs="Arial"/>
        </w:rPr>
        <w:t>kontinuirano</w:t>
      </w:r>
      <w:r>
        <w:rPr>
          <w:rFonts w:cs="Arial"/>
        </w:rPr>
        <w:t xml:space="preserve"> prisutni:</w:t>
      </w:r>
    </w:p>
    <w:p w:rsidR="00A77D7C" w:rsidRPr="00597683" w:rsidRDefault="00A77D7C" w:rsidP="00A77D7C">
      <w:pPr>
        <w:pStyle w:val="ListParagraph"/>
        <w:numPr>
          <w:ilvl w:val="0"/>
          <w:numId w:val="3"/>
        </w:numPr>
        <w:spacing w:before="120"/>
        <w:contextualSpacing w:val="0"/>
      </w:pPr>
      <w:r>
        <w:rPr>
          <w:rFonts w:cs="Arial"/>
        </w:rPr>
        <w:t>oficiri za vezu OS BiH (najviše rangirani oficir) kao koordinator upotrebe OS BiH i međunarodnih vojnih snaga (EUFOR),</w:t>
      </w:r>
    </w:p>
    <w:p w:rsidR="00A77D7C" w:rsidRPr="00597683" w:rsidRDefault="00A77D7C" w:rsidP="00A77D7C">
      <w:pPr>
        <w:pStyle w:val="ListParagraph"/>
        <w:numPr>
          <w:ilvl w:val="0"/>
          <w:numId w:val="3"/>
        </w:numPr>
        <w:spacing w:before="120"/>
        <w:contextualSpacing w:val="0"/>
      </w:pPr>
      <w:r>
        <w:rPr>
          <w:rFonts w:cs="Arial"/>
        </w:rPr>
        <w:t xml:space="preserve">oficiri za vezu EUFOR-a, </w:t>
      </w:r>
    </w:p>
    <w:p w:rsidR="00A77D7C" w:rsidRPr="00597683" w:rsidRDefault="00A77D7C" w:rsidP="00A77D7C">
      <w:pPr>
        <w:pStyle w:val="ListParagraph"/>
        <w:numPr>
          <w:ilvl w:val="0"/>
          <w:numId w:val="0"/>
        </w:numPr>
        <w:spacing w:before="120"/>
        <w:ind w:left="426" w:hanging="360"/>
        <w:contextualSpacing w:val="0"/>
      </w:pPr>
      <w:r>
        <w:rPr>
          <w:rFonts w:cs="Arial"/>
        </w:rPr>
        <w:t>ali učestalo i:</w:t>
      </w:r>
    </w:p>
    <w:p w:rsidR="00A77D7C" w:rsidRPr="00597683" w:rsidRDefault="00A77D7C" w:rsidP="00A77D7C">
      <w:pPr>
        <w:pStyle w:val="ListParagraph"/>
        <w:numPr>
          <w:ilvl w:val="0"/>
          <w:numId w:val="3"/>
        </w:numPr>
        <w:spacing w:before="120"/>
        <w:contextualSpacing w:val="0"/>
      </w:pPr>
      <w:r>
        <w:rPr>
          <w:rFonts w:cs="Arial"/>
        </w:rPr>
        <w:lastRenderedPageBreak/>
        <w:t>predstavnici UiO BiH,</w:t>
      </w:r>
    </w:p>
    <w:p w:rsidR="00A77D7C" w:rsidRPr="00597683" w:rsidRDefault="00A77D7C" w:rsidP="00A77D7C">
      <w:pPr>
        <w:pStyle w:val="ListParagraph"/>
        <w:numPr>
          <w:ilvl w:val="0"/>
          <w:numId w:val="3"/>
        </w:numPr>
        <w:spacing w:before="120"/>
        <w:contextualSpacing w:val="0"/>
      </w:pPr>
      <w:r>
        <w:rPr>
          <w:rFonts w:cs="Arial"/>
        </w:rPr>
        <w:t>predstavnici Direkcije za koordinaciju policijskih tijela Ministarstva sigurnosti BiH,</w:t>
      </w:r>
    </w:p>
    <w:p w:rsidR="00A77D7C" w:rsidRPr="00597683" w:rsidRDefault="00A77D7C" w:rsidP="00A77D7C">
      <w:pPr>
        <w:pStyle w:val="ListParagraph"/>
        <w:numPr>
          <w:ilvl w:val="0"/>
          <w:numId w:val="3"/>
        </w:numPr>
        <w:spacing w:before="120"/>
        <w:contextualSpacing w:val="0"/>
      </w:pPr>
      <w:r>
        <w:rPr>
          <w:rFonts w:cs="Arial"/>
        </w:rPr>
        <w:t>predstavnici Društva crvenog križa, za olakšavanje prijema humanitarne pomoći,</w:t>
      </w:r>
    </w:p>
    <w:p w:rsidR="00A77D7C" w:rsidRPr="00597683" w:rsidRDefault="00A77D7C" w:rsidP="00A77D7C">
      <w:pPr>
        <w:pStyle w:val="ListParagraph"/>
        <w:numPr>
          <w:ilvl w:val="0"/>
          <w:numId w:val="3"/>
        </w:numPr>
        <w:spacing w:before="120"/>
        <w:contextualSpacing w:val="0"/>
      </w:pPr>
      <w:r>
        <w:rPr>
          <w:rFonts w:cs="Arial"/>
        </w:rPr>
        <w:t>predstavnici ministarstava u Vijeću ministara BiH (odbrane, civilnih poslova, komunikacija i prometa, ljudskih prava i izbjeglica).</w:t>
      </w:r>
    </w:p>
    <w:p w:rsidR="00A77D7C" w:rsidRDefault="00A77D7C" w:rsidP="00A77D7C">
      <w:pPr>
        <w:pStyle w:val="ListParagraph"/>
        <w:numPr>
          <w:ilvl w:val="0"/>
          <w:numId w:val="0"/>
        </w:numPr>
        <w:spacing w:before="120"/>
        <w:contextualSpacing w:val="0"/>
        <w:rPr>
          <w:rFonts w:cs="Arial"/>
        </w:rPr>
      </w:pPr>
      <w:r>
        <w:rPr>
          <w:rFonts w:cs="Arial"/>
        </w:rPr>
        <w:t>Na raspolaganje za operativno djelovanje stavili su se Ministarstvu sigurnosti BiH i predstavnici nevladinih organizacija (gorskih službi spašavanja, sportskih klubova, radio amatera), kao i privatnih firmi koje se bave prirodom djelatnosti od značaja za zaštitu i spašavanje (Institut za zaštitu od požara i eksplozije „INZA“). Tako je navedeni institut upotrijebio bespilotnu letjelicu za izviđanje i aerofoto snimanje pomoću koje su urađene kvalitetne snimke poplavom i klizištima pogođenih područja, a koje su pribavile više informacija, te olakšale analizu situacije i procjenu rizika.</w:t>
      </w:r>
    </w:p>
    <w:p w:rsidR="00A77D7C" w:rsidRDefault="00A77D7C" w:rsidP="00A77D7C">
      <w:pPr>
        <w:pStyle w:val="ListParagraph"/>
        <w:numPr>
          <w:ilvl w:val="0"/>
          <w:numId w:val="0"/>
        </w:numPr>
        <w:spacing w:before="120"/>
        <w:contextualSpacing w:val="0"/>
        <w:rPr>
          <w:rFonts w:cs="Arial"/>
        </w:rPr>
      </w:pPr>
      <w:r>
        <w:rPr>
          <w:rFonts w:cs="Arial"/>
        </w:rPr>
        <w:t xml:space="preserve">Ove dobrovoljne snage su prvih dana bile vezane za vertikalni transport, odnosno ubacivanje ljudstva i opreme u poplavljena područja helikopterima OS BiH, EUFOR-a i država koje su biateralno ponudile pomoć (Hrvatska i Slovenija). </w:t>
      </w:r>
    </w:p>
    <w:p w:rsidR="00A77D7C" w:rsidRPr="00327D00" w:rsidRDefault="00A77D7C" w:rsidP="00A77D7C">
      <w:pPr>
        <w:pStyle w:val="ListParagraph"/>
        <w:numPr>
          <w:ilvl w:val="0"/>
          <w:numId w:val="5"/>
        </w:numPr>
        <w:spacing w:before="120"/>
        <w:ind w:left="0" w:firstLine="0"/>
        <w:contextualSpacing w:val="0"/>
      </w:pPr>
      <w:r w:rsidRPr="000A1EFC">
        <w:rPr>
          <w:rFonts w:cs="Arial"/>
          <w:b/>
          <w:i/>
        </w:rPr>
        <w:t>Civilno – vojna komunikacija i koordinacija pomoći Oružanih snaga BiH civilnim strukturama na pogođenim područjima</w:t>
      </w:r>
      <w:r>
        <w:rPr>
          <w:rFonts w:cs="Arial"/>
        </w:rPr>
        <w:t xml:space="preserve">. </w:t>
      </w:r>
    </w:p>
    <w:p w:rsidR="00A77D7C" w:rsidRPr="000A1EFC" w:rsidRDefault="00A77D7C" w:rsidP="00A77D7C">
      <w:pPr>
        <w:pStyle w:val="ListParagraph"/>
        <w:numPr>
          <w:ilvl w:val="0"/>
          <w:numId w:val="0"/>
        </w:numPr>
        <w:spacing w:before="120"/>
        <w:contextualSpacing w:val="0"/>
      </w:pPr>
      <w:r>
        <w:rPr>
          <w:rFonts w:cs="Arial"/>
        </w:rPr>
        <w:t>Odl</w:t>
      </w:r>
      <w:r w:rsidR="007B4D0C">
        <w:rPr>
          <w:rFonts w:cs="Arial"/>
        </w:rPr>
        <w:t>i</w:t>
      </w:r>
      <w:r>
        <w:rPr>
          <w:rFonts w:cs="Arial"/>
        </w:rPr>
        <w:t>čnu civilno – vojnu komunikaciju i koordinaciju operacija spašavanja između Operativno – komunikacijskog centra BiH – 112 i Centra komandovanja i kontrole institucija odbrane BiH (dalje K2 centra) tokom hitne faze odgovora olakšali su navedeni oficiri za vezu.</w:t>
      </w:r>
    </w:p>
    <w:p w:rsidR="00A77D7C" w:rsidRDefault="00A77D7C" w:rsidP="00A77D7C">
      <w:pPr>
        <w:pStyle w:val="ListParagraph"/>
        <w:numPr>
          <w:ilvl w:val="0"/>
          <w:numId w:val="0"/>
        </w:numPr>
        <w:spacing w:before="120"/>
        <w:contextualSpacing w:val="0"/>
      </w:pPr>
      <w:r>
        <w:t>Pomoć Oružanih snaga BiH civilnim strukturama, kojima su rukovodili i koordinirali štabovi civilne zaštite (u RS – štabovi za vanredne situacije), odvijala se po standardnim obrascima (potpisanim i ovjerenim zahtjevima za pomoć), u skladu sa Zakonom o odbrani BiH („Službeni glasnik BiH“, br. 80/05), Okvirnim zakonom o zaštiti i spašavanju („Služeni glasnik BiH“, br. 50/08), Sporazumom o civilno – vojnoj saradnji između Ministarstva odbrane i Ministarstva sigurnosti BiH (2009) i Standardnom operativnom postupku pomoći OS BiH civilnim strukturama u nesreći (2010).</w:t>
      </w:r>
    </w:p>
    <w:p w:rsidR="00A77D7C" w:rsidRDefault="00A77D7C" w:rsidP="00A77D7C">
      <w:pPr>
        <w:pStyle w:val="ListParagraph"/>
        <w:numPr>
          <w:ilvl w:val="0"/>
          <w:numId w:val="0"/>
        </w:numPr>
        <w:spacing w:before="120"/>
        <w:contextualSpacing w:val="0"/>
        <w:rPr>
          <w:b/>
          <w:i/>
        </w:rPr>
      </w:pPr>
      <w:r>
        <w:t xml:space="preserve">Nažalost prvih dana zahtjevi su prvo izostali (u slučaju Šekovića koji su na području Republike Srpske prvi bili na udaru 14.05.2014.), ali su onda od 18. 05. 2014. godine počeli cirkulirati zakonima </w:t>
      </w:r>
      <w:r w:rsidRPr="004328CA">
        <w:rPr>
          <w:b/>
          <w:i/>
        </w:rPr>
        <w:t xml:space="preserve">utvrđenom linijom: </w:t>
      </w:r>
    </w:p>
    <w:p w:rsidR="00A77D7C" w:rsidRDefault="00A77D7C" w:rsidP="00A77D7C">
      <w:pPr>
        <w:pStyle w:val="ListParagraph"/>
        <w:numPr>
          <w:ilvl w:val="0"/>
          <w:numId w:val="0"/>
        </w:numPr>
        <w:spacing w:before="120"/>
        <w:contextualSpacing w:val="0"/>
      </w:pPr>
      <w:r w:rsidRPr="004328CA">
        <w:rPr>
          <w:b/>
          <w:i/>
        </w:rPr>
        <w:t>Štabovi CZ entiteta i Brčko Distrikta BiH</w:t>
      </w:r>
      <w:r>
        <w:rPr>
          <w:b/>
          <w:i/>
        </w:rPr>
        <w:t xml:space="preserve"> (operativni centri)</w:t>
      </w:r>
      <w:r w:rsidRPr="004328CA">
        <w:rPr>
          <w:b/>
          <w:i/>
        </w:rPr>
        <w:t xml:space="preserve"> – Ministarstvo sigurnosti BiH</w:t>
      </w:r>
      <w:r>
        <w:rPr>
          <w:b/>
          <w:i/>
        </w:rPr>
        <w:t xml:space="preserve"> (OKCBiH- 112)</w:t>
      </w:r>
      <w:r w:rsidRPr="004328CA">
        <w:rPr>
          <w:b/>
          <w:i/>
        </w:rPr>
        <w:t xml:space="preserve"> - Ministarstvo odbrane BiH</w:t>
      </w:r>
      <w:r>
        <w:rPr>
          <w:b/>
          <w:i/>
        </w:rPr>
        <w:t xml:space="preserve"> (K2 centar)</w:t>
      </w:r>
      <w:r>
        <w:t>.</w:t>
      </w:r>
      <w:r w:rsidRPr="004328CA">
        <w:t xml:space="preserve"> </w:t>
      </w:r>
    </w:p>
    <w:p w:rsidR="00A77D7C" w:rsidRDefault="00A77D7C" w:rsidP="00A77D7C">
      <w:pPr>
        <w:pStyle w:val="ListParagraph"/>
        <w:numPr>
          <w:ilvl w:val="0"/>
          <w:numId w:val="0"/>
        </w:numPr>
        <w:spacing w:before="120"/>
        <w:contextualSpacing w:val="0"/>
      </w:pPr>
      <w:r>
        <w:t xml:space="preserve">Ova linija traženja pomoći OS BiH utvrđena je u članu 14. tačka bb) Okvirnog zakona o zaštiti i spašavanju. </w:t>
      </w:r>
    </w:p>
    <w:p w:rsidR="00A77D7C" w:rsidRDefault="00A77D7C" w:rsidP="00A77D7C">
      <w:pPr>
        <w:pStyle w:val="ListParagraph"/>
        <w:numPr>
          <w:ilvl w:val="0"/>
          <w:numId w:val="0"/>
        </w:numPr>
        <w:spacing w:before="120"/>
        <w:contextualSpacing w:val="0"/>
      </w:pPr>
      <w:r>
        <w:t xml:space="preserve">Misija pomoći OS BiH i EUFOR-a civilnim strukturama u spašavanju i saniranju posljedica proširena je operacijama kroz vježbu „Zajednički napor- 14“, u kojoj cca. 1.200 vojnika iz OS BiH (750) i država učesnica kroz EUFOR (450) različitim specijalnostima u formatu ukupno do 50 projekata treba da pomognu civilnim strukturama u saniranju posljedica u pogođenim područjima. Sve operacije koje se zahtijevaju izvan područja i pravaca djelovanja obuhvaćenih vježbom poduzimaju se </w:t>
      </w:r>
      <w:r>
        <w:lastRenderedPageBreak/>
        <w:t xml:space="preserve">kao redovne aktivnosti pomoći pogođenim područjima i nisu uključeni resursi ove vježbe. Vježbom nije </w:t>
      </w:r>
      <w:r w:rsidR="007B4D0C">
        <w:t xml:space="preserve">bilo </w:t>
      </w:r>
      <w:r>
        <w:t xml:space="preserve">moguće sanirati cjelokupno područje iz projektnih zahtjeva, ali </w:t>
      </w:r>
      <w:r w:rsidR="007B4D0C">
        <w:t xml:space="preserve">je svakako bilo </w:t>
      </w:r>
      <w:r>
        <w:t xml:space="preserve">od pomoći nadležnim lokalnim organima vlasti pogođenih područja. </w:t>
      </w:r>
    </w:p>
    <w:p w:rsidR="00A77D7C" w:rsidRDefault="00A77D7C" w:rsidP="00A77D7C">
      <w:pPr>
        <w:pStyle w:val="ListParagraph"/>
        <w:numPr>
          <w:ilvl w:val="0"/>
          <w:numId w:val="0"/>
        </w:numPr>
        <w:spacing w:before="120"/>
        <w:contextualSpacing w:val="0"/>
      </w:pPr>
      <w:r>
        <w:t>Rezultati angažmana vojnih resursa u pomoći civilnim strukturama je sljedeći:</w:t>
      </w:r>
    </w:p>
    <w:p w:rsidR="00A77D7C" w:rsidRDefault="00A77D7C" w:rsidP="00A77D7C">
      <w:pPr>
        <w:pStyle w:val="ListParagraph"/>
        <w:numPr>
          <w:ilvl w:val="0"/>
          <w:numId w:val="3"/>
        </w:numPr>
        <w:spacing w:before="120"/>
        <w:ind w:left="284" w:hanging="284"/>
        <w:contextualSpacing w:val="0"/>
      </w:pPr>
      <w:r>
        <w:t xml:space="preserve">u periodu 20. 05. – 06. 06. 2014. godine štabovi civilne zaštite podnijeli </w:t>
      </w:r>
      <w:r w:rsidRPr="00871771">
        <w:rPr>
          <w:b/>
          <w:i/>
        </w:rPr>
        <w:t>ukupno 168 zahtjeva, odnosno 175 zahtjeva do 15. 06. 2014. godine</w:t>
      </w:r>
      <w:r>
        <w:t>, od čega samo 5 nije realizirano iz operativno sigurnosnih razloga (procjena rizika),</w:t>
      </w:r>
    </w:p>
    <w:p w:rsidR="00A77D7C" w:rsidRDefault="00A77D7C" w:rsidP="00A77D7C">
      <w:pPr>
        <w:pStyle w:val="ListParagraph"/>
        <w:numPr>
          <w:ilvl w:val="0"/>
          <w:numId w:val="3"/>
        </w:numPr>
        <w:spacing w:before="120"/>
        <w:ind w:left="284" w:hanging="284"/>
        <w:contextualSpacing w:val="0"/>
      </w:pPr>
      <w:r>
        <w:t>u periodu 16. – 26. 05. 2014. godine u misiji vertikalnog spašavanja i transporta ljudi i tereta učestvovalo je ukupno 19 helikoptera (3 helikoptera Vlade Republike Srpske nisu djelovali pod koordinacijom iz OKC BiH- 112);</w:t>
      </w:r>
    </w:p>
    <w:p w:rsidR="00A77D7C" w:rsidRDefault="00A77D7C" w:rsidP="00A77D7C">
      <w:pPr>
        <w:pStyle w:val="ListParagraph"/>
        <w:numPr>
          <w:ilvl w:val="0"/>
          <w:numId w:val="3"/>
        </w:numPr>
        <w:spacing w:before="120"/>
        <w:ind w:left="284" w:hanging="284"/>
        <w:contextualSpacing w:val="0"/>
      </w:pPr>
      <w:r>
        <w:t>u periodu 26.05. – 06. 06. 2014. godine bilo je još ukupno 6 letova helikoptera OS BiH (2 leta snimanje stanja i 4 leta Mi-8 za VIP osobe),</w:t>
      </w:r>
    </w:p>
    <w:p w:rsidR="00A77D7C" w:rsidRDefault="00A77D7C" w:rsidP="00A77D7C">
      <w:pPr>
        <w:pStyle w:val="ListParagraph"/>
        <w:numPr>
          <w:ilvl w:val="0"/>
          <w:numId w:val="3"/>
        </w:numPr>
        <w:spacing w:before="120" w:after="180"/>
        <w:ind w:left="284" w:hanging="284"/>
        <w:contextualSpacing w:val="0"/>
      </w:pPr>
      <w:r>
        <w:t>učinak angažiranih helikoptera</w:t>
      </w:r>
      <w:r>
        <w:rPr>
          <w:rStyle w:val="FootnoteReference"/>
        </w:rPr>
        <w:footnoteReference w:id="1"/>
      </w:r>
      <w:r>
        <w:t xml:space="preserve"> bio je kao po tabelarnom prikazu:</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1443"/>
        <w:gridCol w:w="1559"/>
        <w:gridCol w:w="1390"/>
        <w:gridCol w:w="1649"/>
      </w:tblGrid>
      <w:tr w:rsidR="00A77D7C" w:rsidRPr="00871771" w:rsidTr="008669D1">
        <w:tc>
          <w:tcPr>
            <w:tcW w:w="2209" w:type="dxa"/>
          </w:tcPr>
          <w:p w:rsidR="00A77D7C" w:rsidRPr="00871771" w:rsidRDefault="00A77D7C" w:rsidP="008669D1">
            <w:pPr>
              <w:spacing w:before="120"/>
              <w:rPr>
                <w:rFonts w:ascii="Arial" w:hAnsi="Arial" w:cs="Arial"/>
                <w:b/>
                <w:sz w:val="22"/>
                <w:szCs w:val="22"/>
              </w:rPr>
            </w:pPr>
            <w:r w:rsidRPr="00871771">
              <w:rPr>
                <w:rFonts w:ascii="Arial" w:hAnsi="Arial" w:cs="Arial"/>
                <w:b/>
                <w:sz w:val="22"/>
                <w:szCs w:val="22"/>
              </w:rPr>
              <w:t>Helikopteri</w:t>
            </w:r>
          </w:p>
        </w:tc>
        <w:tc>
          <w:tcPr>
            <w:tcW w:w="1443" w:type="dxa"/>
            <w:vMerge w:val="restart"/>
          </w:tcPr>
          <w:p w:rsidR="00A77D7C" w:rsidRPr="00871771" w:rsidRDefault="00A77D7C" w:rsidP="008669D1">
            <w:pPr>
              <w:spacing w:before="120" w:after="120"/>
              <w:jc w:val="center"/>
              <w:rPr>
                <w:rFonts w:ascii="Arial" w:hAnsi="Arial" w:cs="Arial"/>
                <w:b/>
                <w:sz w:val="22"/>
                <w:szCs w:val="22"/>
              </w:rPr>
            </w:pPr>
            <w:r w:rsidRPr="00871771">
              <w:rPr>
                <w:rFonts w:ascii="Arial" w:hAnsi="Arial" w:cs="Arial"/>
                <w:b/>
                <w:sz w:val="22"/>
                <w:szCs w:val="22"/>
              </w:rPr>
              <w:t>Helikopteri OS BiH</w:t>
            </w:r>
            <w:r>
              <w:rPr>
                <w:rStyle w:val="FootnoteReference"/>
                <w:rFonts w:ascii="Arial" w:hAnsi="Arial" w:cs="Arial"/>
                <w:b/>
                <w:sz w:val="22"/>
                <w:szCs w:val="22"/>
              </w:rPr>
              <w:footnoteReference w:id="2"/>
            </w:r>
            <w:r w:rsidRPr="00871771">
              <w:rPr>
                <w:rFonts w:ascii="Arial" w:hAnsi="Arial" w:cs="Arial"/>
                <w:b/>
                <w:sz w:val="22"/>
                <w:szCs w:val="22"/>
              </w:rPr>
              <w:t xml:space="preserve"> </w:t>
            </w:r>
          </w:p>
        </w:tc>
        <w:tc>
          <w:tcPr>
            <w:tcW w:w="1559" w:type="dxa"/>
            <w:vMerge w:val="restart"/>
          </w:tcPr>
          <w:p w:rsidR="00A77D7C" w:rsidRPr="00871771" w:rsidRDefault="00A77D7C" w:rsidP="008669D1">
            <w:pPr>
              <w:spacing w:before="120" w:after="120"/>
              <w:jc w:val="center"/>
              <w:rPr>
                <w:rFonts w:ascii="Arial" w:hAnsi="Arial" w:cs="Arial"/>
                <w:b/>
                <w:sz w:val="22"/>
                <w:szCs w:val="22"/>
              </w:rPr>
            </w:pPr>
            <w:r w:rsidRPr="00871771">
              <w:rPr>
                <w:rFonts w:ascii="Arial" w:hAnsi="Arial" w:cs="Arial"/>
                <w:b/>
                <w:sz w:val="22"/>
                <w:szCs w:val="22"/>
              </w:rPr>
              <w:t>Helikopteri SLO i HR</w:t>
            </w:r>
          </w:p>
        </w:tc>
        <w:tc>
          <w:tcPr>
            <w:tcW w:w="1390" w:type="dxa"/>
            <w:vMerge w:val="restart"/>
          </w:tcPr>
          <w:p w:rsidR="00A77D7C" w:rsidRPr="00871771" w:rsidRDefault="00A77D7C" w:rsidP="008669D1">
            <w:pPr>
              <w:spacing w:before="120" w:after="120"/>
              <w:jc w:val="center"/>
              <w:rPr>
                <w:rFonts w:ascii="Arial" w:hAnsi="Arial" w:cs="Arial"/>
                <w:b/>
                <w:sz w:val="22"/>
                <w:szCs w:val="22"/>
              </w:rPr>
            </w:pPr>
            <w:r w:rsidRPr="00871771">
              <w:rPr>
                <w:rFonts w:ascii="Arial" w:hAnsi="Arial" w:cs="Arial"/>
                <w:b/>
                <w:sz w:val="22"/>
                <w:szCs w:val="22"/>
              </w:rPr>
              <w:t>Helikopteri EUFOR-a</w:t>
            </w:r>
          </w:p>
        </w:tc>
        <w:tc>
          <w:tcPr>
            <w:tcW w:w="1649" w:type="dxa"/>
            <w:vMerge w:val="restart"/>
          </w:tcPr>
          <w:p w:rsidR="00A77D7C" w:rsidRPr="00871771" w:rsidRDefault="00A77D7C" w:rsidP="008669D1">
            <w:pPr>
              <w:spacing w:before="120" w:after="120"/>
              <w:jc w:val="center"/>
              <w:rPr>
                <w:rFonts w:ascii="Arial" w:hAnsi="Arial" w:cs="Arial"/>
                <w:b/>
                <w:sz w:val="22"/>
                <w:szCs w:val="22"/>
              </w:rPr>
            </w:pPr>
            <w:r w:rsidRPr="00871771">
              <w:rPr>
                <w:rFonts w:ascii="Arial" w:hAnsi="Arial" w:cs="Arial"/>
                <w:b/>
                <w:sz w:val="22"/>
                <w:szCs w:val="22"/>
              </w:rPr>
              <w:t>UKUPNO</w:t>
            </w:r>
          </w:p>
        </w:tc>
      </w:tr>
      <w:tr w:rsidR="00A77D7C" w:rsidRPr="00871771" w:rsidTr="008669D1">
        <w:tc>
          <w:tcPr>
            <w:tcW w:w="2209" w:type="dxa"/>
          </w:tcPr>
          <w:p w:rsidR="00A77D7C" w:rsidRPr="00871771" w:rsidRDefault="00A77D7C" w:rsidP="008669D1">
            <w:pPr>
              <w:spacing w:before="120"/>
              <w:rPr>
                <w:rFonts w:ascii="Arial" w:hAnsi="Arial" w:cs="Arial"/>
                <w:b/>
                <w:sz w:val="22"/>
                <w:szCs w:val="22"/>
              </w:rPr>
            </w:pPr>
            <w:r w:rsidRPr="00871771">
              <w:rPr>
                <w:rFonts w:ascii="Arial" w:hAnsi="Arial" w:cs="Arial"/>
                <w:b/>
                <w:sz w:val="22"/>
                <w:szCs w:val="22"/>
              </w:rPr>
              <w:t>Vrsta operac.</w:t>
            </w:r>
          </w:p>
        </w:tc>
        <w:tc>
          <w:tcPr>
            <w:tcW w:w="1443" w:type="dxa"/>
            <w:vMerge/>
          </w:tcPr>
          <w:p w:rsidR="00A77D7C" w:rsidRPr="00871771" w:rsidRDefault="00A77D7C" w:rsidP="008669D1">
            <w:pPr>
              <w:spacing w:before="120"/>
              <w:rPr>
                <w:rFonts w:ascii="Arial" w:hAnsi="Arial" w:cs="Arial"/>
                <w:b/>
                <w:sz w:val="22"/>
                <w:szCs w:val="22"/>
                <w:u w:val="single"/>
              </w:rPr>
            </w:pPr>
          </w:p>
        </w:tc>
        <w:tc>
          <w:tcPr>
            <w:tcW w:w="1559" w:type="dxa"/>
            <w:vMerge/>
          </w:tcPr>
          <w:p w:rsidR="00A77D7C" w:rsidRPr="00871771" w:rsidRDefault="00A77D7C" w:rsidP="008669D1">
            <w:pPr>
              <w:spacing w:before="120"/>
              <w:rPr>
                <w:rFonts w:ascii="Arial" w:hAnsi="Arial" w:cs="Arial"/>
                <w:b/>
                <w:sz w:val="22"/>
                <w:szCs w:val="22"/>
                <w:u w:val="single"/>
              </w:rPr>
            </w:pPr>
          </w:p>
        </w:tc>
        <w:tc>
          <w:tcPr>
            <w:tcW w:w="1390" w:type="dxa"/>
            <w:vMerge/>
          </w:tcPr>
          <w:p w:rsidR="00A77D7C" w:rsidRPr="00871771" w:rsidRDefault="00A77D7C" w:rsidP="008669D1">
            <w:pPr>
              <w:spacing w:before="120"/>
              <w:rPr>
                <w:rFonts w:ascii="Arial" w:hAnsi="Arial" w:cs="Arial"/>
                <w:b/>
                <w:sz w:val="22"/>
                <w:szCs w:val="22"/>
                <w:u w:val="single"/>
              </w:rPr>
            </w:pPr>
          </w:p>
        </w:tc>
        <w:tc>
          <w:tcPr>
            <w:tcW w:w="1649" w:type="dxa"/>
            <w:vMerge/>
          </w:tcPr>
          <w:p w:rsidR="00A77D7C" w:rsidRPr="00871771" w:rsidRDefault="00A77D7C" w:rsidP="008669D1">
            <w:pPr>
              <w:spacing w:before="120"/>
              <w:rPr>
                <w:rFonts w:ascii="Arial" w:hAnsi="Arial" w:cs="Arial"/>
                <w:b/>
                <w:sz w:val="22"/>
                <w:szCs w:val="22"/>
                <w:u w:val="single"/>
              </w:rPr>
            </w:pPr>
          </w:p>
        </w:tc>
      </w:tr>
      <w:tr w:rsidR="00A77D7C" w:rsidRPr="00871771" w:rsidTr="008669D1">
        <w:tc>
          <w:tcPr>
            <w:tcW w:w="2209" w:type="dxa"/>
          </w:tcPr>
          <w:p w:rsidR="00A77D7C" w:rsidRPr="00871771" w:rsidRDefault="00A77D7C" w:rsidP="008669D1">
            <w:pPr>
              <w:spacing w:before="120" w:after="120"/>
              <w:rPr>
                <w:rFonts w:ascii="Arial" w:hAnsi="Arial" w:cs="Arial"/>
                <w:sz w:val="22"/>
                <w:szCs w:val="22"/>
              </w:rPr>
            </w:pPr>
            <w:r w:rsidRPr="00871771">
              <w:rPr>
                <w:rFonts w:ascii="Arial" w:hAnsi="Arial" w:cs="Arial"/>
                <w:sz w:val="22"/>
                <w:szCs w:val="22"/>
              </w:rPr>
              <w:t xml:space="preserve">Prevoz ljudi </w:t>
            </w:r>
          </w:p>
        </w:tc>
        <w:tc>
          <w:tcPr>
            <w:tcW w:w="1443" w:type="dxa"/>
          </w:tcPr>
          <w:p w:rsidR="00A77D7C" w:rsidRPr="00871771" w:rsidRDefault="00A77D7C" w:rsidP="008669D1">
            <w:pPr>
              <w:spacing w:before="120" w:after="120"/>
              <w:jc w:val="center"/>
              <w:rPr>
                <w:rFonts w:ascii="Arial" w:hAnsi="Arial" w:cs="Arial"/>
                <w:sz w:val="22"/>
                <w:szCs w:val="22"/>
              </w:rPr>
            </w:pPr>
            <w:r>
              <w:rPr>
                <w:rFonts w:ascii="Arial" w:hAnsi="Arial" w:cs="Arial"/>
                <w:sz w:val="22"/>
                <w:szCs w:val="22"/>
              </w:rPr>
              <w:t>352</w:t>
            </w:r>
          </w:p>
        </w:tc>
        <w:tc>
          <w:tcPr>
            <w:tcW w:w="1559"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147</w:t>
            </w:r>
          </w:p>
        </w:tc>
        <w:tc>
          <w:tcPr>
            <w:tcW w:w="1390"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w:t>
            </w:r>
          </w:p>
        </w:tc>
        <w:tc>
          <w:tcPr>
            <w:tcW w:w="1649" w:type="dxa"/>
          </w:tcPr>
          <w:p w:rsidR="00A77D7C" w:rsidRPr="00871771" w:rsidRDefault="00A77D7C" w:rsidP="008669D1">
            <w:pPr>
              <w:spacing w:before="120" w:after="120"/>
              <w:jc w:val="center"/>
              <w:rPr>
                <w:rFonts w:ascii="Arial" w:hAnsi="Arial" w:cs="Arial"/>
                <w:b/>
                <w:sz w:val="22"/>
                <w:szCs w:val="22"/>
              </w:rPr>
            </w:pPr>
            <w:r w:rsidRPr="00871771">
              <w:rPr>
                <w:rFonts w:ascii="Arial" w:hAnsi="Arial" w:cs="Arial"/>
                <w:b/>
                <w:sz w:val="22"/>
                <w:szCs w:val="22"/>
              </w:rPr>
              <w:t>4</w:t>
            </w:r>
            <w:r>
              <w:rPr>
                <w:rFonts w:ascii="Arial" w:hAnsi="Arial" w:cs="Arial"/>
                <w:b/>
                <w:sz w:val="22"/>
                <w:szCs w:val="22"/>
              </w:rPr>
              <w:t>99</w:t>
            </w:r>
            <w:r w:rsidRPr="00871771">
              <w:rPr>
                <w:rFonts w:ascii="Arial" w:hAnsi="Arial" w:cs="Arial"/>
                <w:b/>
                <w:sz w:val="22"/>
                <w:szCs w:val="22"/>
              </w:rPr>
              <w:t xml:space="preserve"> osoba</w:t>
            </w:r>
          </w:p>
        </w:tc>
      </w:tr>
      <w:tr w:rsidR="00A77D7C" w:rsidRPr="00871771" w:rsidTr="008669D1">
        <w:tc>
          <w:tcPr>
            <w:tcW w:w="2209" w:type="dxa"/>
          </w:tcPr>
          <w:p w:rsidR="00A77D7C" w:rsidRPr="00871771" w:rsidRDefault="00A77D7C" w:rsidP="008669D1">
            <w:pPr>
              <w:spacing w:before="120" w:after="120"/>
              <w:rPr>
                <w:rFonts w:ascii="Arial" w:hAnsi="Arial" w:cs="Arial"/>
                <w:sz w:val="22"/>
                <w:szCs w:val="22"/>
              </w:rPr>
            </w:pPr>
            <w:r w:rsidRPr="00871771">
              <w:rPr>
                <w:rFonts w:ascii="Arial" w:hAnsi="Arial" w:cs="Arial"/>
                <w:sz w:val="22"/>
                <w:szCs w:val="22"/>
              </w:rPr>
              <w:t>Transport tereta (tona)</w:t>
            </w:r>
          </w:p>
        </w:tc>
        <w:tc>
          <w:tcPr>
            <w:tcW w:w="1443"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4</w:t>
            </w:r>
            <w:r>
              <w:rPr>
                <w:rFonts w:ascii="Arial" w:hAnsi="Arial" w:cs="Arial"/>
                <w:sz w:val="22"/>
                <w:szCs w:val="22"/>
              </w:rPr>
              <w:t>49,7</w:t>
            </w:r>
            <w:r w:rsidRPr="00871771">
              <w:rPr>
                <w:rFonts w:ascii="Arial" w:hAnsi="Arial" w:cs="Arial"/>
                <w:sz w:val="22"/>
                <w:szCs w:val="22"/>
              </w:rPr>
              <w:t xml:space="preserve"> t</w:t>
            </w:r>
          </w:p>
        </w:tc>
        <w:tc>
          <w:tcPr>
            <w:tcW w:w="1559"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&gt;129,2</w:t>
            </w:r>
          </w:p>
        </w:tc>
        <w:tc>
          <w:tcPr>
            <w:tcW w:w="1390"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&gt;133,9</w:t>
            </w:r>
          </w:p>
        </w:tc>
        <w:tc>
          <w:tcPr>
            <w:tcW w:w="1649" w:type="dxa"/>
          </w:tcPr>
          <w:p w:rsidR="00A77D7C" w:rsidRPr="00871771" w:rsidRDefault="00A77D7C" w:rsidP="008669D1">
            <w:pPr>
              <w:spacing w:before="120" w:after="120"/>
              <w:jc w:val="center"/>
              <w:rPr>
                <w:rFonts w:ascii="Arial" w:hAnsi="Arial" w:cs="Arial"/>
                <w:b/>
                <w:sz w:val="22"/>
                <w:szCs w:val="22"/>
              </w:rPr>
            </w:pPr>
            <w:r>
              <w:rPr>
                <w:rFonts w:ascii="Arial" w:hAnsi="Arial" w:cs="Arial"/>
                <w:b/>
                <w:sz w:val="22"/>
                <w:szCs w:val="22"/>
              </w:rPr>
              <w:t>712,8</w:t>
            </w:r>
            <w:r w:rsidRPr="00871771">
              <w:rPr>
                <w:rFonts w:ascii="Arial" w:hAnsi="Arial" w:cs="Arial"/>
                <w:b/>
                <w:sz w:val="22"/>
                <w:szCs w:val="22"/>
              </w:rPr>
              <w:t xml:space="preserve"> </w:t>
            </w:r>
            <w:r>
              <w:rPr>
                <w:rFonts w:ascii="Arial" w:hAnsi="Arial" w:cs="Arial"/>
                <w:b/>
                <w:sz w:val="22"/>
                <w:szCs w:val="22"/>
              </w:rPr>
              <w:t>t</w:t>
            </w:r>
            <w:r w:rsidRPr="00871771">
              <w:rPr>
                <w:rFonts w:ascii="Arial" w:hAnsi="Arial" w:cs="Arial"/>
                <w:b/>
                <w:sz w:val="22"/>
                <w:szCs w:val="22"/>
              </w:rPr>
              <w:t>ona</w:t>
            </w:r>
          </w:p>
        </w:tc>
      </w:tr>
      <w:tr w:rsidR="00A77D7C" w:rsidRPr="00871771" w:rsidTr="008669D1">
        <w:tc>
          <w:tcPr>
            <w:tcW w:w="2209" w:type="dxa"/>
          </w:tcPr>
          <w:p w:rsidR="00A77D7C" w:rsidRPr="00871771" w:rsidRDefault="00A77D7C" w:rsidP="008669D1">
            <w:pPr>
              <w:spacing w:before="120" w:after="120"/>
              <w:rPr>
                <w:rFonts w:ascii="Arial" w:hAnsi="Arial" w:cs="Arial"/>
                <w:sz w:val="22"/>
                <w:szCs w:val="22"/>
              </w:rPr>
            </w:pPr>
            <w:r w:rsidRPr="00871771">
              <w:rPr>
                <w:rFonts w:ascii="Arial" w:hAnsi="Arial" w:cs="Arial"/>
                <w:sz w:val="22"/>
                <w:szCs w:val="22"/>
              </w:rPr>
              <w:t>Spašeno/Evakuirano</w:t>
            </w:r>
          </w:p>
        </w:tc>
        <w:tc>
          <w:tcPr>
            <w:tcW w:w="1443" w:type="dxa"/>
          </w:tcPr>
          <w:p w:rsidR="00A77D7C" w:rsidRPr="00871771" w:rsidRDefault="00A77D7C" w:rsidP="008669D1">
            <w:pPr>
              <w:spacing w:before="120" w:after="120"/>
              <w:jc w:val="center"/>
              <w:rPr>
                <w:rFonts w:ascii="Arial" w:hAnsi="Arial" w:cs="Arial"/>
                <w:sz w:val="22"/>
                <w:szCs w:val="22"/>
              </w:rPr>
            </w:pPr>
            <w:r>
              <w:rPr>
                <w:rFonts w:ascii="Arial" w:hAnsi="Arial" w:cs="Arial"/>
                <w:sz w:val="22"/>
                <w:szCs w:val="22"/>
              </w:rPr>
              <w:t>519</w:t>
            </w:r>
          </w:p>
        </w:tc>
        <w:tc>
          <w:tcPr>
            <w:tcW w:w="1559"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637</w:t>
            </w:r>
          </w:p>
        </w:tc>
        <w:tc>
          <w:tcPr>
            <w:tcW w:w="1390"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1269</w:t>
            </w:r>
            <w:r w:rsidRPr="00871771">
              <w:rPr>
                <w:rStyle w:val="FootnoteReference"/>
                <w:rFonts w:ascii="Arial" w:hAnsi="Arial" w:cs="Arial"/>
                <w:sz w:val="22"/>
                <w:szCs w:val="22"/>
              </w:rPr>
              <w:footnoteReference w:id="3"/>
            </w:r>
          </w:p>
        </w:tc>
        <w:tc>
          <w:tcPr>
            <w:tcW w:w="1649" w:type="dxa"/>
          </w:tcPr>
          <w:p w:rsidR="00A77D7C" w:rsidRPr="00871771" w:rsidRDefault="00A77D7C" w:rsidP="008669D1">
            <w:pPr>
              <w:spacing w:before="120" w:after="120"/>
              <w:jc w:val="center"/>
              <w:rPr>
                <w:rFonts w:ascii="Arial" w:hAnsi="Arial" w:cs="Arial"/>
                <w:b/>
                <w:sz w:val="22"/>
                <w:szCs w:val="22"/>
              </w:rPr>
            </w:pPr>
            <w:r>
              <w:rPr>
                <w:rFonts w:ascii="Arial" w:hAnsi="Arial" w:cs="Arial"/>
                <w:b/>
                <w:sz w:val="22"/>
                <w:szCs w:val="22"/>
              </w:rPr>
              <w:t>2.425 os</w:t>
            </w:r>
            <w:r w:rsidRPr="00871771">
              <w:rPr>
                <w:rFonts w:ascii="Arial" w:hAnsi="Arial" w:cs="Arial"/>
                <w:b/>
                <w:sz w:val="22"/>
                <w:szCs w:val="22"/>
              </w:rPr>
              <w:t>oba</w:t>
            </w:r>
          </w:p>
        </w:tc>
      </w:tr>
      <w:tr w:rsidR="00A77D7C" w:rsidRPr="00871771" w:rsidTr="008669D1">
        <w:tc>
          <w:tcPr>
            <w:tcW w:w="2209" w:type="dxa"/>
          </w:tcPr>
          <w:p w:rsidR="00A77D7C" w:rsidRPr="00871771" w:rsidRDefault="00A77D7C" w:rsidP="008669D1">
            <w:pPr>
              <w:spacing w:before="120" w:after="120"/>
              <w:rPr>
                <w:rFonts w:ascii="Arial" w:hAnsi="Arial" w:cs="Arial"/>
                <w:sz w:val="22"/>
                <w:szCs w:val="22"/>
              </w:rPr>
            </w:pPr>
            <w:r w:rsidRPr="00871771">
              <w:rPr>
                <w:rFonts w:ascii="Arial" w:hAnsi="Arial" w:cs="Arial"/>
                <w:sz w:val="22"/>
                <w:szCs w:val="22"/>
              </w:rPr>
              <w:t xml:space="preserve">Letova </w:t>
            </w:r>
          </w:p>
        </w:tc>
        <w:tc>
          <w:tcPr>
            <w:tcW w:w="1443" w:type="dxa"/>
          </w:tcPr>
          <w:p w:rsidR="00A77D7C" w:rsidRPr="00871771" w:rsidRDefault="00A77D7C" w:rsidP="008669D1">
            <w:pPr>
              <w:spacing w:before="120" w:after="120"/>
              <w:jc w:val="center"/>
              <w:rPr>
                <w:rFonts w:ascii="Arial" w:hAnsi="Arial" w:cs="Arial"/>
                <w:sz w:val="22"/>
                <w:szCs w:val="22"/>
              </w:rPr>
            </w:pPr>
            <w:r>
              <w:rPr>
                <w:rFonts w:ascii="Arial" w:hAnsi="Arial" w:cs="Arial"/>
                <w:sz w:val="22"/>
                <w:szCs w:val="22"/>
              </w:rPr>
              <w:t>272</w:t>
            </w:r>
          </w:p>
        </w:tc>
        <w:tc>
          <w:tcPr>
            <w:tcW w:w="1559"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322</w:t>
            </w:r>
          </w:p>
        </w:tc>
        <w:tc>
          <w:tcPr>
            <w:tcW w:w="1390"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340</w:t>
            </w:r>
          </w:p>
        </w:tc>
        <w:tc>
          <w:tcPr>
            <w:tcW w:w="1649" w:type="dxa"/>
          </w:tcPr>
          <w:p w:rsidR="00A77D7C" w:rsidRPr="00871771" w:rsidRDefault="00A77D7C" w:rsidP="008669D1">
            <w:pPr>
              <w:spacing w:before="120" w:after="120"/>
              <w:jc w:val="center"/>
              <w:rPr>
                <w:rFonts w:ascii="Arial" w:hAnsi="Arial" w:cs="Arial"/>
                <w:b/>
                <w:sz w:val="22"/>
                <w:szCs w:val="22"/>
              </w:rPr>
            </w:pPr>
            <w:r>
              <w:rPr>
                <w:rFonts w:ascii="Arial" w:hAnsi="Arial" w:cs="Arial"/>
                <w:b/>
                <w:sz w:val="22"/>
                <w:szCs w:val="22"/>
              </w:rPr>
              <w:t>934</w:t>
            </w:r>
            <w:r w:rsidRPr="00871771">
              <w:rPr>
                <w:rFonts w:ascii="Arial" w:hAnsi="Arial" w:cs="Arial"/>
                <w:b/>
                <w:sz w:val="22"/>
                <w:szCs w:val="22"/>
              </w:rPr>
              <w:t xml:space="preserve"> leta</w:t>
            </w:r>
          </w:p>
        </w:tc>
      </w:tr>
      <w:tr w:rsidR="00A77D7C" w:rsidRPr="00871771" w:rsidTr="008669D1">
        <w:tc>
          <w:tcPr>
            <w:tcW w:w="2209" w:type="dxa"/>
          </w:tcPr>
          <w:p w:rsidR="00A77D7C" w:rsidRPr="00871771" w:rsidRDefault="00A77D7C" w:rsidP="008669D1">
            <w:pPr>
              <w:spacing w:before="120" w:after="120"/>
              <w:rPr>
                <w:rFonts w:ascii="Arial" w:hAnsi="Arial" w:cs="Arial"/>
                <w:sz w:val="22"/>
                <w:szCs w:val="22"/>
              </w:rPr>
            </w:pPr>
            <w:r w:rsidRPr="00871771">
              <w:rPr>
                <w:rFonts w:ascii="Arial" w:hAnsi="Arial" w:cs="Arial"/>
                <w:sz w:val="22"/>
                <w:szCs w:val="22"/>
              </w:rPr>
              <w:t>Naleta</w:t>
            </w:r>
          </w:p>
        </w:tc>
        <w:tc>
          <w:tcPr>
            <w:tcW w:w="1443" w:type="dxa"/>
          </w:tcPr>
          <w:p w:rsidR="00A77D7C" w:rsidRPr="00871771" w:rsidRDefault="00A77D7C" w:rsidP="008669D1">
            <w:pPr>
              <w:spacing w:before="120" w:after="120"/>
              <w:jc w:val="center"/>
              <w:rPr>
                <w:rFonts w:ascii="Arial" w:hAnsi="Arial" w:cs="Arial"/>
                <w:sz w:val="22"/>
                <w:szCs w:val="22"/>
              </w:rPr>
            </w:pPr>
            <w:r>
              <w:rPr>
                <w:rFonts w:ascii="Arial" w:hAnsi="Arial" w:cs="Arial"/>
                <w:sz w:val="22"/>
                <w:szCs w:val="22"/>
              </w:rPr>
              <w:t>153,1</w:t>
            </w:r>
          </w:p>
        </w:tc>
        <w:tc>
          <w:tcPr>
            <w:tcW w:w="1559"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126,2</w:t>
            </w:r>
          </w:p>
        </w:tc>
        <w:tc>
          <w:tcPr>
            <w:tcW w:w="1390" w:type="dxa"/>
          </w:tcPr>
          <w:p w:rsidR="00A77D7C" w:rsidRPr="00871771" w:rsidRDefault="00A77D7C" w:rsidP="008669D1">
            <w:pPr>
              <w:spacing w:before="120" w:after="120"/>
              <w:jc w:val="center"/>
              <w:rPr>
                <w:rFonts w:ascii="Arial" w:hAnsi="Arial" w:cs="Arial"/>
                <w:sz w:val="22"/>
                <w:szCs w:val="22"/>
              </w:rPr>
            </w:pPr>
            <w:r w:rsidRPr="00871771">
              <w:rPr>
                <w:rFonts w:ascii="Arial" w:hAnsi="Arial" w:cs="Arial"/>
                <w:sz w:val="22"/>
                <w:szCs w:val="22"/>
              </w:rPr>
              <w:t>-</w:t>
            </w:r>
          </w:p>
        </w:tc>
        <w:tc>
          <w:tcPr>
            <w:tcW w:w="1649" w:type="dxa"/>
          </w:tcPr>
          <w:p w:rsidR="00A77D7C" w:rsidRPr="00871771" w:rsidRDefault="00A77D7C" w:rsidP="008669D1">
            <w:pPr>
              <w:spacing w:before="120" w:after="120"/>
              <w:jc w:val="center"/>
              <w:rPr>
                <w:rFonts w:ascii="Arial" w:hAnsi="Arial" w:cs="Arial"/>
                <w:b/>
                <w:sz w:val="22"/>
                <w:szCs w:val="22"/>
              </w:rPr>
            </w:pPr>
            <w:r>
              <w:rPr>
                <w:rFonts w:ascii="Arial" w:hAnsi="Arial" w:cs="Arial"/>
                <w:b/>
                <w:sz w:val="22"/>
                <w:szCs w:val="22"/>
              </w:rPr>
              <w:t>2</w:t>
            </w:r>
            <w:r w:rsidRPr="00871771">
              <w:rPr>
                <w:rFonts w:ascii="Arial" w:hAnsi="Arial" w:cs="Arial"/>
                <w:b/>
                <w:sz w:val="22"/>
                <w:szCs w:val="22"/>
              </w:rPr>
              <w:t>7</w:t>
            </w:r>
            <w:r>
              <w:rPr>
                <w:rFonts w:ascii="Arial" w:hAnsi="Arial" w:cs="Arial"/>
                <w:b/>
                <w:sz w:val="22"/>
                <w:szCs w:val="22"/>
              </w:rPr>
              <w:t>9,3</w:t>
            </w:r>
          </w:p>
        </w:tc>
      </w:tr>
    </w:tbl>
    <w:p w:rsidR="00A77D7C" w:rsidRDefault="00A77D7C" w:rsidP="00A77D7C">
      <w:pPr>
        <w:pStyle w:val="ListParagraph"/>
        <w:numPr>
          <w:ilvl w:val="0"/>
          <w:numId w:val="3"/>
        </w:numPr>
        <w:spacing w:before="120"/>
        <w:contextualSpacing w:val="0"/>
      </w:pPr>
      <w:r>
        <w:t xml:space="preserve">u misijama vertikalne podrške, helikopteri OS BiH su potrošili ukupno </w:t>
      </w:r>
      <w:r w:rsidRPr="00894F2B">
        <w:rPr>
          <w:b/>
          <w:i/>
        </w:rPr>
        <w:t>64.580 litara kerozina</w:t>
      </w:r>
      <w:r>
        <w:t>.</w:t>
      </w:r>
    </w:p>
    <w:p w:rsidR="00A77D7C" w:rsidRDefault="00A77D7C" w:rsidP="00A77D7C">
      <w:pPr>
        <w:pStyle w:val="ListParagraph"/>
        <w:numPr>
          <w:ilvl w:val="0"/>
          <w:numId w:val="0"/>
        </w:numPr>
        <w:ind w:left="720"/>
        <w:contextualSpacing w:val="0"/>
      </w:pPr>
    </w:p>
    <w:p w:rsidR="00A77D7C" w:rsidRPr="00A77D7C" w:rsidRDefault="00A77D7C" w:rsidP="00A77D7C">
      <w:pPr>
        <w:pStyle w:val="ListParagraph"/>
        <w:numPr>
          <w:ilvl w:val="0"/>
          <w:numId w:val="5"/>
        </w:numPr>
        <w:ind w:left="284" w:hanging="284"/>
        <w:contextualSpacing w:val="0"/>
      </w:pPr>
      <w:r w:rsidRPr="00894F2B">
        <w:rPr>
          <w:rFonts w:cs="Arial"/>
          <w:b/>
          <w:i/>
        </w:rPr>
        <w:t>Međunarodna komunikacija i koordinacija prijema tražene/ ponuđene međunarodne pomoći</w:t>
      </w:r>
      <w:r>
        <w:rPr>
          <w:rFonts w:cs="Arial"/>
        </w:rPr>
        <w:t>.</w:t>
      </w:r>
    </w:p>
    <w:p w:rsidR="00A77D7C" w:rsidRPr="00A77D7C" w:rsidRDefault="00A77D7C" w:rsidP="00A77D7C">
      <w:pPr>
        <w:pStyle w:val="ListParagraph"/>
        <w:numPr>
          <w:ilvl w:val="0"/>
          <w:numId w:val="0"/>
        </w:numPr>
        <w:ind w:left="284"/>
        <w:contextualSpacing w:val="0"/>
      </w:pPr>
    </w:p>
    <w:p w:rsidR="00A77D7C" w:rsidRPr="00A77D7C" w:rsidRDefault="00A77D7C" w:rsidP="00A77D7C">
      <w:pPr>
        <w:pStyle w:val="ListParagraph"/>
        <w:numPr>
          <w:ilvl w:val="0"/>
          <w:numId w:val="0"/>
        </w:numPr>
        <w:ind w:left="284"/>
        <w:contextualSpacing w:val="0"/>
      </w:pPr>
      <w:r w:rsidRPr="00A77D7C">
        <w:rPr>
          <w:rFonts w:cs="Arial"/>
        </w:rPr>
        <w:t xml:space="preserve">Primjenjujući Smjernice EU i NATO za podršku države domaćina u prijemu međunarodne pomoći, kao i Uputstvo o interininstitucionalnoj koordinaciji prijema i pružanja međunarodne pomoći (2013) i prethodno donešenog Uputstva o načinu i postupku prelaska državne granice prilikom primanja i/ili upućivanja međunarodne pomoći u zaštiti i spašavanju, sa obrascima popisa ljudstva, tehnike i opreme koja se prenosi preko granice (2009), Ministarstvo sigurnosti BiH je provelo složene </w:t>
      </w:r>
      <w:r w:rsidRPr="00A77D7C">
        <w:rPr>
          <w:rFonts w:cs="Arial"/>
        </w:rPr>
        <w:lastRenderedPageBreak/>
        <w:t>aktivnosti komunikacije i koordinacije prijema i rasporeda međunarodne pomoći tokom poplava.</w:t>
      </w:r>
    </w:p>
    <w:p w:rsidR="00A77D7C" w:rsidRPr="0031389A" w:rsidRDefault="00A77D7C" w:rsidP="00A77D7C">
      <w:pPr>
        <w:spacing w:before="120"/>
        <w:jc w:val="both"/>
        <w:rPr>
          <w:rFonts w:ascii="Arial" w:hAnsi="Arial" w:cs="Arial"/>
          <w:lang w:val="hr-HR"/>
        </w:rPr>
      </w:pPr>
      <w:r>
        <w:rPr>
          <w:rFonts w:ascii="Arial" w:hAnsi="Arial" w:cs="Arial"/>
          <w:lang w:val="hr-HR"/>
        </w:rPr>
        <w:t>Traženje međunarodne</w:t>
      </w:r>
      <w:r w:rsidRPr="0031389A">
        <w:rPr>
          <w:rFonts w:ascii="Arial" w:hAnsi="Arial" w:cs="Arial"/>
          <w:lang w:val="hr-HR"/>
        </w:rPr>
        <w:t xml:space="preserve"> pomoć</w:t>
      </w:r>
      <w:r>
        <w:rPr>
          <w:rFonts w:ascii="Arial" w:hAnsi="Arial" w:cs="Arial"/>
          <w:lang w:val="hr-HR"/>
        </w:rPr>
        <w:t>i odobreno je odlukom Vijeće ministara BiH, dana 15.05.2014. godine na vanrednoj sjednici. Postupak se, po odredbama Okvirnog zakona o zaštiti i spašavanju, i gore navedenog Uputstva o prijemu međunarodne pomoći, proveo preko OKC BiH- 112 Ministarstva sigurnosti BiH.</w:t>
      </w:r>
    </w:p>
    <w:p w:rsidR="00A77D7C" w:rsidRDefault="00A77D7C" w:rsidP="00A77D7C">
      <w:pPr>
        <w:spacing w:before="120"/>
        <w:jc w:val="both"/>
        <w:rPr>
          <w:rFonts w:ascii="Arial" w:hAnsi="Arial" w:cs="Arial"/>
          <w:lang w:val="hr-HR"/>
        </w:rPr>
      </w:pPr>
      <w:r w:rsidRPr="008E0EBB">
        <w:rPr>
          <w:rFonts w:ascii="Arial" w:hAnsi="Arial" w:cs="Arial"/>
          <w:lang w:val="hr-HR"/>
        </w:rPr>
        <w:t>Koordinacija prijema međunarodne pomoći podrazumijevala je komunikaciju i koordinaciju prihvata</w:t>
      </w:r>
      <w:r>
        <w:rPr>
          <w:rFonts w:ascii="Arial" w:hAnsi="Arial" w:cs="Arial"/>
          <w:lang w:val="hr-HR"/>
        </w:rPr>
        <w:t>:</w:t>
      </w:r>
    </w:p>
    <w:p w:rsidR="00A77D7C" w:rsidRDefault="00A77D7C" w:rsidP="00A77D7C">
      <w:pPr>
        <w:numPr>
          <w:ilvl w:val="0"/>
          <w:numId w:val="6"/>
        </w:numPr>
        <w:spacing w:before="120"/>
        <w:ind w:left="426"/>
        <w:jc w:val="both"/>
        <w:rPr>
          <w:rFonts w:ascii="Arial" w:hAnsi="Arial" w:cs="Arial"/>
          <w:lang w:val="hr-HR"/>
        </w:rPr>
      </w:pPr>
      <w:r w:rsidRPr="000C5AE1">
        <w:rPr>
          <w:rFonts w:ascii="Arial" w:hAnsi="Arial" w:cs="Arial"/>
          <w:u w:val="single"/>
          <w:lang w:val="hr-HR"/>
        </w:rPr>
        <w:t>pomoći spasilačkim timovima i timovima saniranja posljedica nesreće</w:t>
      </w:r>
      <w:r>
        <w:rPr>
          <w:rFonts w:ascii="Arial" w:hAnsi="Arial" w:cs="Arial"/>
          <w:lang w:val="hr-HR"/>
        </w:rPr>
        <w:t>:</w:t>
      </w:r>
    </w:p>
    <w:p w:rsidR="00A77D7C" w:rsidRDefault="00A77D7C" w:rsidP="00A77D7C">
      <w:pPr>
        <w:numPr>
          <w:ilvl w:val="0"/>
          <w:numId w:val="3"/>
        </w:numPr>
        <w:spacing w:before="120"/>
        <w:jc w:val="both"/>
        <w:rPr>
          <w:rFonts w:ascii="Arial" w:hAnsi="Arial" w:cs="Arial"/>
          <w:lang w:val="hr-HR"/>
        </w:rPr>
      </w:pPr>
      <w:r w:rsidRPr="00A77D7C">
        <w:rPr>
          <w:rFonts w:ascii="Arial" w:hAnsi="Arial" w:cs="Arial"/>
          <w:lang w:val="hr-HR"/>
        </w:rPr>
        <w:t>tokom</w:t>
      </w:r>
      <w:r>
        <w:rPr>
          <w:rFonts w:ascii="Arial" w:hAnsi="Arial" w:cs="Arial"/>
          <w:b/>
          <w:i/>
          <w:lang w:val="hr-HR"/>
        </w:rPr>
        <w:t xml:space="preserve"> </w:t>
      </w:r>
      <w:r w:rsidRPr="00A77D7C">
        <w:rPr>
          <w:rFonts w:ascii="Arial" w:hAnsi="Arial" w:cs="Arial"/>
          <w:lang w:val="hr-HR"/>
        </w:rPr>
        <w:t>polava</w:t>
      </w:r>
      <w:r>
        <w:rPr>
          <w:rFonts w:ascii="Arial" w:hAnsi="Arial" w:cs="Arial"/>
          <w:lang w:val="hr-HR"/>
        </w:rPr>
        <w:t xml:space="preserve"> </w:t>
      </w:r>
      <w:r w:rsidRPr="0031389A">
        <w:rPr>
          <w:rFonts w:ascii="Arial" w:hAnsi="Arial" w:cs="Arial"/>
          <w:b/>
          <w:i/>
          <w:lang w:val="hr-HR"/>
        </w:rPr>
        <w:t xml:space="preserve">ukupno </w:t>
      </w:r>
      <w:r>
        <w:rPr>
          <w:rFonts w:ascii="Arial" w:hAnsi="Arial" w:cs="Arial"/>
          <w:b/>
          <w:i/>
          <w:lang w:val="hr-HR"/>
        </w:rPr>
        <w:t>41</w:t>
      </w:r>
      <w:r w:rsidRPr="0031389A">
        <w:rPr>
          <w:rFonts w:ascii="Arial" w:hAnsi="Arial" w:cs="Arial"/>
          <w:b/>
          <w:i/>
          <w:lang w:val="hr-HR"/>
        </w:rPr>
        <w:t xml:space="preserve"> držav</w:t>
      </w:r>
      <w:r>
        <w:rPr>
          <w:rFonts w:ascii="Arial" w:hAnsi="Arial" w:cs="Arial"/>
          <w:b/>
          <w:i/>
          <w:lang w:val="hr-HR"/>
        </w:rPr>
        <w:t>a</w:t>
      </w:r>
      <w:r>
        <w:rPr>
          <w:rFonts w:ascii="Arial" w:hAnsi="Arial" w:cs="Arial"/>
          <w:lang w:val="hr-HR"/>
        </w:rPr>
        <w:t xml:space="preserve"> je pružila spasilačku i drugu specijalističku pomoć i humanitarnu pomoć Bosni i Hercegovini (21 država članica EU i Mehanizma CZ u EU i 20 država kroz bilateralni aranžman),</w:t>
      </w:r>
    </w:p>
    <w:p w:rsidR="00A77D7C" w:rsidRDefault="00A77D7C" w:rsidP="00A77D7C">
      <w:pPr>
        <w:numPr>
          <w:ilvl w:val="0"/>
          <w:numId w:val="3"/>
        </w:numPr>
        <w:spacing w:before="120"/>
        <w:jc w:val="both"/>
        <w:rPr>
          <w:rFonts w:ascii="Arial" w:hAnsi="Arial" w:cs="Arial"/>
          <w:lang w:val="hr-HR"/>
        </w:rPr>
      </w:pPr>
      <w:r>
        <w:rPr>
          <w:rFonts w:ascii="Arial" w:hAnsi="Arial" w:cs="Arial"/>
          <w:lang w:val="hr-HR"/>
        </w:rPr>
        <w:t xml:space="preserve">kroz timove u pružanju pomoći učestvovalo je </w:t>
      </w:r>
      <w:r w:rsidRPr="000E07DA">
        <w:rPr>
          <w:rFonts w:ascii="Arial" w:hAnsi="Arial" w:cs="Arial"/>
          <w:b/>
          <w:i/>
          <w:lang w:val="hr-HR"/>
        </w:rPr>
        <w:t>ukupno &gt; 850 pripadnika različitih specijalnosti</w:t>
      </w:r>
      <w:r>
        <w:rPr>
          <w:rFonts w:ascii="Arial" w:hAnsi="Arial" w:cs="Arial"/>
          <w:lang w:val="hr-HR"/>
        </w:rPr>
        <w:t xml:space="preserve"> (spašavanje na vodi, ispumpavanje vode pumpama velikog kapaciteta, sistemi za prečišćavanje vode za piće, odbrana od poplava i zbrinjavanje stanovništva, i dr.), </w:t>
      </w:r>
      <w:r>
        <w:rPr>
          <w:rFonts w:ascii="Arial" w:hAnsi="Arial" w:cs="Arial"/>
          <w:b/>
          <w:i/>
          <w:lang w:val="hr-HR"/>
        </w:rPr>
        <w:t>45 međunarodnih timova.</w:t>
      </w:r>
    </w:p>
    <w:p w:rsidR="00A77D7C" w:rsidRDefault="00A77D7C" w:rsidP="00A77D7C">
      <w:pPr>
        <w:numPr>
          <w:ilvl w:val="0"/>
          <w:numId w:val="3"/>
        </w:numPr>
        <w:spacing w:before="120"/>
        <w:jc w:val="both"/>
        <w:rPr>
          <w:rFonts w:ascii="Arial" w:hAnsi="Arial" w:cs="Arial"/>
          <w:lang w:val="hr-HR"/>
        </w:rPr>
      </w:pPr>
      <w:r>
        <w:rPr>
          <w:rFonts w:ascii="Arial" w:hAnsi="Arial" w:cs="Arial"/>
          <w:lang w:val="hr-HR"/>
        </w:rPr>
        <w:t xml:space="preserve">međunarodni spasilački timovi za spašavanje na vodi spasili su ukupno </w:t>
      </w:r>
      <w:r w:rsidRPr="00660220">
        <w:rPr>
          <w:rFonts w:ascii="Arial" w:hAnsi="Arial" w:cs="Arial"/>
          <w:b/>
          <w:i/>
          <w:lang w:val="hr-HR"/>
        </w:rPr>
        <w:t>&gt; 3.000 osoba</w:t>
      </w:r>
      <w:r>
        <w:rPr>
          <w:rFonts w:ascii="Arial" w:hAnsi="Arial" w:cs="Arial"/>
          <w:lang w:val="hr-HR"/>
        </w:rPr>
        <w:t>,</w:t>
      </w:r>
    </w:p>
    <w:p w:rsidR="00A77D7C" w:rsidRDefault="00A77D7C" w:rsidP="00A77D7C">
      <w:pPr>
        <w:numPr>
          <w:ilvl w:val="0"/>
          <w:numId w:val="3"/>
        </w:numPr>
        <w:spacing w:before="120"/>
        <w:jc w:val="both"/>
        <w:rPr>
          <w:rFonts w:ascii="Arial" w:hAnsi="Arial" w:cs="Arial"/>
          <w:lang w:val="hr-HR"/>
        </w:rPr>
      </w:pPr>
      <w:r>
        <w:rPr>
          <w:rFonts w:ascii="Arial" w:hAnsi="Arial" w:cs="Arial"/>
          <w:lang w:val="hr-HR"/>
        </w:rPr>
        <w:t xml:space="preserve">ispumpano je </w:t>
      </w:r>
      <w:r w:rsidRPr="002A0ADC">
        <w:rPr>
          <w:rFonts w:ascii="Arial" w:hAnsi="Arial" w:cs="Arial"/>
          <w:b/>
          <w:i/>
          <w:lang w:val="hr-HR"/>
        </w:rPr>
        <w:t>ukupno 4 miliona m</w:t>
      </w:r>
      <w:r w:rsidRPr="00E41851">
        <w:rPr>
          <w:rFonts w:ascii="Arial" w:hAnsi="Arial" w:cs="Arial"/>
          <w:b/>
          <w:i/>
          <w:vertAlign w:val="superscript"/>
          <w:lang w:val="hr-HR"/>
        </w:rPr>
        <w:t>3</w:t>
      </w:r>
      <w:r w:rsidRPr="002A0ADC">
        <w:rPr>
          <w:rFonts w:ascii="Arial" w:hAnsi="Arial" w:cs="Arial"/>
          <w:b/>
          <w:i/>
          <w:lang w:val="hr-HR"/>
        </w:rPr>
        <w:t xml:space="preserve"> vode</w:t>
      </w:r>
      <w:r>
        <w:rPr>
          <w:rFonts w:ascii="Arial" w:hAnsi="Arial" w:cs="Arial"/>
          <w:lang w:val="hr-HR"/>
        </w:rPr>
        <w:t>,</w:t>
      </w:r>
    </w:p>
    <w:p w:rsidR="00A77D7C" w:rsidRDefault="00A77D7C" w:rsidP="00A77D7C">
      <w:pPr>
        <w:numPr>
          <w:ilvl w:val="0"/>
          <w:numId w:val="3"/>
        </w:numPr>
        <w:spacing w:before="120"/>
        <w:jc w:val="both"/>
        <w:rPr>
          <w:rFonts w:ascii="Arial" w:hAnsi="Arial" w:cs="Arial"/>
          <w:lang w:val="hr-HR"/>
        </w:rPr>
      </w:pPr>
      <w:r w:rsidRPr="002A0ADC">
        <w:rPr>
          <w:rFonts w:ascii="Arial" w:hAnsi="Arial" w:cs="Arial"/>
          <w:b/>
          <w:i/>
          <w:lang w:val="hr-HR"/>
        </w:rPr>
        <w:t xml:space="preserve">prečišćeno je </w:t>
      </w:r>
      <w:r>
        <w:rPr>
          <w:rFonts w:ascii="Arial" w:hAnsi="Arial" w:cs="Arial"/>
          <w:b/>
          <w:i/>
          <w:lang w:val="hr-HR"/>
        </w:rPr>
        <w:t>oko</w:t>
      </w:r>
      <w:r w:rsidRPr="002A0ADC">
        <w:rPr>
          <w:rFonts w:ascii="Arial" w:hAnsi="Arial" w:cs="Arial"/>
          <w:b/>
          <w:i/>
          <w:lang w:val="hr-HR"/>
        </w:rPr>
        <w:t xml:space="preserve"> </w:t>
      </w:r>
      <w:r>
        <w:rPr>
          <w:rFonts w:ascii="Arial" w:hAnsi="Arial" w:cs="Arial"/>
          <w:b/>
          <w:i/>
          <w:lang w:val="hr-HR"/>
        </w:rPr>
        <w:t>4</w:t>
      </w:r>
      <w:r w:rsidRPr="002A0ADC">
        <w:rPr>
          <w:rFonts w:ascii="Arial" w:hAnsi="Arial" w:cs="Arial"/>
          <w:b/>
          <w:i/>
          <w:lang w:val="hr-HR"/>
        </w:rPr>
        <w:t xml:space="preserve"> milion</w:t>
      </w:r>
      <w:r>
        <w:rPr>
          <w:rFonts w:ascii="Arial" w:hAnsi="Arial" w:cs="Arial"/>
          <w:b/>
          <w:i/>
          <w:lang w:val="hr-HR"/>
        </w:rPr>
        <w:t>a</w:t>
      </w:r>
      <w:r w:rsidRPr="002A0ADC">
        <w:rPr>
          <w:rFonts w:ascii="Arial" w:hAnsi="Arial" w:cs="Arial"/>
          <w:b/>
          <w:i/>
          <w:lang w:val="hr-HR"/>
        </w:rPr>
        <w:t xml:space="preserve"> litara</w:t>
      </w:r>
      <w:r>
        <w:rPr>
          <w:rFonts w:ascii="Arial" w:hAnsi="Arial" w:cs="Arial"/>
          <w:lang w:val="hr-HR"/>
        </w:rPr>
        <w:t xml:space="preserve"> vode za piće,</w:t>
      </w:r>
    </w:p>
    <w:p w:rsidR="00A77D7C" w:rsidRDefault="00A77D7C" w:rsidP="00A77D7C">
      <w:pPr>
        <w:numPr>
          <w:ilvl w:val="0"/>
          <w:numId w:val="3"/>
        </w:numPr>
        <w:spacing w:before="120"/>
        <w:jc w:val="both"/>
        <w:rPr>
          <w:rFonts w:ascii="Arial" w:hAnsi="Arial" w:cs="Arial"/>
          <w:lang w:val="hr-HR"/>
        </w:rPr>
      </w:pPr>
      <w:r>
        <w:rPr>
          <w:rFonts w:ascii="Arial" w:hAnsi="Arial" w:cs="Arial"/>
          <w:lang w:val="hr-HR"/>
        </w:rPr>
        <w:t xml:space="preserve">Švedska je donirala </w:t>
      </w:r>
      <w:r w:rsidRPr="00660220">
        <w:rPr>
          <w:rFonts w:ascii="Arial" w:hAnsi="Arial" w:cs="Arial"/>
          <w:b/>
          <w:lang w:val="hr-HR"/>
        </w:rPr>
        <w:t>6 sistema za prečiščavanje</w:t>
      </w:r>
      <w:r>
        <w:rPr>
          <w:rFonts w:ascii="Arial" w:hAnsi="Arial" w:cs="Arial"/>
          <w:lang w:val="hr-HR"/>
        </w:rPr>
        <w:t xml:space="preserve"> vode koji su donirani Tuzlanskom i Zeničko- dobojskom kantonu.</w:t>
      </w:r>
    </w:p>
    <w:p w:rsidR="00A77D7C" w:rsidRDefault="00A77D7C" w:rsidP="00A77D7C">
      <w:pPr>
        <w:numPr>
          <w:ilvl w:val="0"/>
          <w:numId w:val="6"/>
        </w:numPr>
        <w:spacing w:before="120"/>
        <w:ind w:left="426"/>
        <w:jc w:val="both"/>
        <w:rPr>
          <w:rFonts w:ascii="Arial" w:hAnsi="Arial" w:cs="Arial"/>
          <w:lang w:val="hr-HR"/>
        </w:rPr>
      </w:pPr>
      <w:r w:rsidRPr="000C5AE1">
        <w:rPr>
          <w:rFonts w:ascii="Arial" w:hAnsi="Arial" w:cs="Arial"/>
          <w:u w:val="single"/>
          <w:lang w:val="hr-HR"/>
        </w:rPr>
        <w:t>humanitarne pomoći</w:t>
      </w:r>
      <w:r>
        <w:rPr>
          <w:rFonts w:ascii="Arial" w:hAnsi="Arial" w:cs="Arial"/>
          <w:lang w:val="hr-HR"/>
        </w:rPr>
        <w:t xml:space="preserve"> (zrakom i kopnom):</w:t>
      </w:r>
    </w:p>
    <w:p w:rsidR="00A77D7C" w:rsidRPr="00FF1439" w:rsidRDefault="00A77D7C" w:rsidP="00A77D7C">
      <w:pPr>
        <w:spacing w:before="120"/>
        <w:ind w:left="720"/>
        <w:jc w:val="both"/>
        <w:rPr>
          <w:rFonts w:ascii="Arial" w:hAnsi="Arial" w:cs="Arial"/>
          <w:lang w:val="hr-HR"/>
        </w:rPr>
      </w:pPr>
      <w:r w:rsidRPr="00FF1439">
        <w:rPr>
          <w:rFonts w:ascii="Arial" w:hAnsi="Arial" w:cs="Arial"/>
          <w:b/>
          <w:lang w:val="hr-HR"/>
        </w:rPr>
        <w:t>1</w:t>
      </w:r>
      <w:r>
        <w:rPr>
          <w:rFonts w:ascii="Arial" w:hAnsi="Arial" w:cs="Arial"/>
          <w:b/>
          <w:lang w:val="hr-HR"/>
        </w:rPr>
        <w:t>5</w:t>
      </w:r>
      <w:r w:rsidRPr="00FF1439">
        <w:rPr>
          <w:rFonts w:ascii="Arial" w:hAnsi="Arial" w:cs="Arial"/>
          <w:b/>
          <w:lang w:val="hr-HR"/>
        </w:rPr>
        <w:t xml:space="preserve"> humanitarnih letova</w:t>
      </w:r>
      <w:r w:rsidRPr="00FF1439">
        <w:rPr>
          <w:rFonts w:ascii="Arial" w:hAnsi="Arial" w:cs="Arial"/>
          <w:lang w:val="hr-HR"/>
        </w:rPr>
        <w:t xml:space="preserve"> na aerodrome Sarajevo, Banja</w:t>
      </w:r>
      <w:r w:rsidR="00635C32">
        <w:rPr>
          <w:rFonts w:ascii="Arial" w:hAnsi="Arial" w:cs="Arial"/>
          <w:lang w:val="hr-HR"/>
        </w:rPr>
        <w:t xml:space="preserve"> L</w:t>
      </w:r>
      <w:r w:rsidRPr="00FF1439">
        <w:rPr>
          <w:rFonts w:ascii="Arial" w:hAnsi="Arial" w:cs="Arial"/>
          <w:lang w:val="hr-HR"/>
        </w:rPr>
        <w:t>uka, Tuzla, u periodu 18. – 2</w:t>
      </w:r>
      <w:r>
        <w:rPr>
          <w:rFonts w:ascii="Arial" w:hAnsi="Arial" w:cs="Arial"/>
          <w:lang w:val="hr-HR"/>
        </w:rPr>
        <w:t>9</w:t>
      </w:r>
      <w:r w:rsidRPr="00FF1439">
        <w:rPr>
          <w:rFonts w:ascii="Arial" w:hAnsi="Arial" w:cs="Arial"/>
          <w:lang w:val="hr-HR"/>
        </w:rPr>
        <w:t xml:space="preserve">. 05. 2014.  (pomoć dočekivalo Ministarstvo sigurnosti BiH i predavalo organima Cz entiteta i Brčko Distrikta i Društvu CK, ili su donatori unaprijed odredili kome će ići pomoć), </w:t>
      </w:r>
    </w:p>
    <w:p w:rsidR="00A77D7C" w:rsidRDefault="00A77D7C" w:rsidP="00A77D7C">
      <w:pPr>
        <w:numPr>
          <w:ilvl w:val="0"/>
          <w:numId w:val="3"/>
        </w:numPr>
        <w:spacing w:before="120"/>
        <w:jc w:val="both"/>
        <w:rPr>
          <w:rFonts w:ascii="Arial" w:hAnsi="Arial" w:cs="Arial"/>
          <w:lang w:val="hr-HR"/>
        </w:rPr>
      </w:pPr>
      <w:r w:rsidRPr="00FF1439">
        <w:rPr>
          <w:rFonts w:ascii="Arial" w:hAnsi="Arial" w:cs="Arial"/>
          <w:b/>
          <w:lang w:val="hr-HR"/>
        </w:rPr>
        <w:t>1</w:t>
      </w:r>
      <w:r>
        <w:rPr>
          <w:rFonts w:ascii="Arial" w:hAnsi="Arial" w:cs="Arial"/>
          <w:b/>
          <w:lang w:val="hr-HR"/>
        </w:rPr>
        <w:t>4</w:t>
      </w:r>
      <w:r w:rsidRPr="00FF1439">
        <w:rPr>
          <w:rFonts w:ascii="Arial" w:hAnsi="Arial" w:cs="Arial"/>
          <w:b/>
          <w:lang w:val="hr-HR"/>
        </w:rPr>
        <w:t xml:space="preserve"> transporta kopnom</w:t>
      </w:r>
      <w:r>
        <w:rPr>
          <w:rFonts w:ascii="Arial" w:hAnsi="Arial" w:cs="Arial"/>
          <w:b/>
          <w:lang w:val="hr-HR"/>
        </w:rPr>
        <w:t xml:space="preserve">, konvoja </w:t>
      </w:r>
      <w:r w:rsidRPr="00145F3A">
        <w:rPr>
          <w:rFonts w:ascii="Arial" w:hAnsi="Arial" w:cs="Arial"/>
          <w:lang w:val="hr-HR"/>
        </w:rPr>
        <w:t>koji su koordinirani direktno preko Ministarstva sigurnosti BiH</w:t>
      </w:r>
      <w:r w:rsidRPr="00FF1439">
        <w:rPr>
          <w:rFonts w:ascii="Arial" w:hAnsi="Arial" w:cs="Arial"/>
          <w:lang w:val="hr-HR"/>
        </w:rPr>
        <w:t xml:space="preserve"> (</w:t>
      </w:r>
      <w:r>
        <w:rPr>
          <w:rFonts w:ascii="Arial" w:hAnsi="Arial" w:cs="Arial"/>
          <w:lang w:val="hr-HR"/>
        </w:rPr>
        <w:t>10</w:t>
      </w:r>
      <w:r w:rsidRPr="00FF1439">
        <w:rPr>
          <w:rFonts w:ascii="Arial" w:hAnsi="Arial" w:cs="Arial"/>
          <w:lang w:val="hr-HR"/>
        </w:rPr>
        <w:t xml:space="preserve"> država i 4 organizacije), po istom sistemu kao iz prethodne stavke.</w:t>
      </w:r>
    </w:p>
    <w:p w:rsidR="00A77D7C" w:rsidRDefault="00A77D7C" w:rsidP="00A77D7C">
      <w:pPr>
        <w:numPr>
          <w:ilvl w:val="0"/>
          <w:numId w:val="3"/>
        </w:numPr>
        <w:spacing w:before="120"/>
        <w:jc w:val="both"/>
        <w:rPr>
          <w:rFonts w:ascii="Arial" w:hAnsi="Arial" w:cs="Arial"/>
          <w:lang w:val="hr-HR"/>
        </w:rPr>
      </w:pPr>
      <w:r>
        <w:rPr>
          <w:rFonts w:ascii="Arial" w:hAnsi="Arial" w:cs="Arial"/>
          <w:lang w:val="hr-HR"/>
        </w:rPr>
        <w:t xml:space="preserve">Bosni i Hercegovini je također stizala i humanitarna pomoć što su organizirale nevladine organizacije i udruženja građana = </w:t>
      </w:r>
      <w:r w:rsidRPr="00FB22D2">
        <w:rPr>
          <w:rFonts w:ascii="Arial" w:hAnsi="Arial" w:cs="Arial"/>
          <w:b/>
          <w:i/>
          <w:lang w:val="hr-HR"/>
        </w:rPr>
        <w:t>u periodu 20. 05. – 15. 06. 2014</w:t>
      </w:r>
      <w:r>
        <w:rPr>
          <w:rFonts w:ascii="Arial" w:hAnsi="Arial" w:cs="Arial"/>
          <w:lang w:val="hr-HR"/>
        </w:rPr>
        <w:t xml:space="preserve">. godine evidentirano je </w:t>
      </w:r>
      <w:r w:rsidRPr="00FB22D2">
        <w:rPr>
          <w:rFonts w:ascii="Arial" w:hAnsi="Arial" w:cs="Arial"/>
          <w:b/>
          <w:i/>
          <w:lang w:val="hr-HR"/>
        </w:rPr>
        <w:t>450 najava dostave humanitarne pomoći</w:t>
      </w:r>
      <w:r>
        <w:rPr>
          <w:rFonts w:ascii="Arial" w:hAnsi="Arial" w:cs="Arial"/>
          <w:lang w:val="hr-HR"/>
        </w:rPr>
        <w:t xml:space="preserve"> (uglavnom iz Holandije, Njemačke, Austrije i Švicarske,...).</w:t>
      </w:r>
    </w:p>
    <w:p w:rsidR="00A77D7C" w:rsidRDefault="00A77D7C" w:rsidP="00A77D7C">
      <w:pPr>
        <w:numPr>
          <w:ilvl w:val="0"/>
          <w:numId w:val="6"/>
        </w:numPr>
        <w:spacing w:before="120"/>
        <w:ind w:left="426"/>
        <w:jc w:val="both"/>
        <w:rPr>
          <w:rFonts w:ascii="Arial" w:hAnsi="Arial" w:cs="Arial"/>
          <w:lang w:val="hr-HR"/>
        </w:rPr>
      </w:pPr>
      <w:r w:rsidRPr="000C5AE1">
        <w:rPr>
          <w:rFonts w:ascii="Arial" w:hAnsi="Arial" w:cs="Arial"/>
          <w:u w:val="single"/>
          <w:lang w:val="hr-HR"/>
        </w:rPr>
        <w:t>koordinaciju međunarodne pomoći vojnim snagama i sredstvima</w:t>
      </w:r>
      <w:r>
        <w:rPr>
          <w:rFonts w:ascii="Arial" w:hAnsi="Arial" w:cs="Arial"/>
          <w:lang w:val="hr-HR"/>
        </w:rPr>
        <w:t xml:space="preserve">, kao u primjeru tekuće vježbe </w:t>
      </w:r>
      <w:r w:rsidRPr="00220387">
        <w:rPr>
          <w:rFonts w:ascii="Arial" w:hAnsi="Arial" w:cs="Arial"/>
          <w:b/>
          <w:lang w:val="hr-HR"/>
        </w:rPr>
        <w:t>„Zajednički napor – 14“</w:t>
      </w:r>
      <w:r>
        <w:rPr>
          <w:rFonts w:ascii="Arial" w:hAnsi="Arial" w:cs="Arial"/>
          <w:lang w:val="hr-HR"/>
        </w:rPr>
        <w:t xml:space="preserve"> , ili vojn</w:t>
      </w:r>
      <w:r w:rsidR="00ED5D91">
        <w:rPr>
          <w:rFonts w:ascii="Arial" w:hAnsi="Arial" w:cs="Arial"/>
          <w:lang w:val="hr-HR"/>
        </w:rPr>
        <w:t>og</w:t>
      </w:r>
      <w:r>
        <w:rPr>
          <w:rFonts w:ascii="Arial" w:hAnsi="Arial" w:cs="Arial"/>
          <w:lang w:val="hr-HR"/>
        </w:rPr>
        <w:t xml:space="preserve"> tim</w:t>
      </w:r>
      <w:r w:rsidR="00ED5D91">
        <w:rPr>
          <w:rFonts w:ascii="Arial" w:hAnsi="Arial" w:cs="Arial"/>
          <w:lang w:val="hr-HR"/>
        </w:rPr>
        <w:t>a</w:t>
      </w:r>
      <w:r>
        <w:rPr>
          <w:rFonts w:ascii="Arial" w:hAnsi="Arial" w:cs="Arial"/>
          <w:lang w:val="hr-HR"/>
        </w:rPr>
        <w:t xml:space="preserve"> za civilne misije (austrijski vojni tim za prečišćavanje vode). </w:t>
      </w:r>
    </w:p>
    <w:p w:rsidR="00A77D7C" w:rsidRDefault="00A77D7C" w:rsidP="00A77D7C">
      <w:pPr>
        <w:spacing w:before="120"/>
        <w:ind w:left="450"/>
        <w:jc w:val="both"/>
        <w:rPr>
          <w:rFonts w:ascii="Arial" w:hAnsi="Arial" w:cs="Arial"/>
          <w:lang w:val="hr-HR"/>
        </w:rPr>
      </w:pPr>
      <w:r>
        <w:rPr>
          <w:rFonts w:ascii="Arial" w:hAnsi="Arial" w:cs="Arial"/>
          <w:lang w:val="hr-HR"/>
        </w:rPr>
        <w:t xml:space="preserve">U okviru navedene </w:t>
      </w:r>
      <w:r w:rsidRPr="00220387">
        <w:rPr>
          <w:rFonts w:ascii="Arial" w:hAnsi="Arial" w:cs="Arial"/>
          <w:lang w:val="hr-HR"/>
        </w:rPr>
        <w:t>vježbe „Zajednički napor – 14“,</w:t>
      </w:r>
      <w:r>
        <w:rPr>
          <w:rFonts w:ascii="Arial" w:hAnsi="Arial" w:cs="Arial"/>
          <w:lang w:val="hr-HR"/>
        </w:rPr>
        <w:t xml:space="preserve"> koja je prvobitno trebala biti održana na Manjači, u područjima šireg obuhvata zone operacija, od Zenice preko Šamca do Brčkog i Bijeljine, uključeni resursi OS BiH i država učesnica pomažu </w:t>
      </w:r>
      <w:r>
        <w:rPr>
          <w:rFonts w:ascii="Arial" w:hAnsi="Arial" w:cs="Arial"/>
          <w:lang w:val="hr-HR"/>
        </w:rPr>
        <w:lastRenderedPageBreak/>
        <w:t>lokalnim vlastima u otklanjanju posljedica poplava (1.200 vojnika za čišćenje od poplava i zbrinjavanje stanovništva, 5 inžinjerijskih mašina, &gt; 200 kamiona, 50 kontejnera, medicinskih službi, ABHO čete za DDD, više helikoptera i dr. snaga i sredstava). Civilno – vojna koordinacije se izvodi kroz OKC BiH- 112 gdje operativno djeluje oficir za vezu OS BiH, uz već postojeći broj oficira OS BiH i EUFOR-a za tekuće aktivnosti u širem području djelovanja na saniranju posljedica..</w:t>
      </w:r>
    </w:p>
    <w:p w:rsidR="00A77D7C" w:rsidRPr="00D63F8C" w:rsidRDefault="00A77D7C" w:rsidP="00A77D7C">
      <w:pPr>
        <w:spacing w:before="120"/>
        <w:ind w:left="446"/>
        <w:jc w:val="both"/>
        <w:rPr>
          <w:rFonts w:ascii="Arial" w:hAnsi="Arial" w:cs="Arial"/>
        </w:rPr>
      </w:pPr>
      <w:r w:rsidRPr="00D63F8C">
        <w:rPr>
          <w:rFonts w:ascii="Arial" w:hAnsi="Arial" w:cs="Arial"/>
          <w:lang w:val="hr-HR"/>
        </w:rPr>
        <w:t xml:space="preserve">Do sada je bilo </w:t>
      </w:r>
      <w:r>
        <w:rPr>
          <w:rFonts w:ascii="Arial" w:hAnsi="Arial" w:cs="Arial"/>
          <w:lang w:val="hr-HR"/>
        </w:rPr>
        <w:t xml:space="preserve">ukupno </w:t>
      </w:r>
      <w:r w:rsidRPr="00D63F8C">
        <w:rPr>
          <w:rFonts w:ascii="Arial" w:hAnsi="Arial" w:cs="Arial"/>
          <w:lang w:val="hr-HR"/>
        </w:rPr>
        <w:t>24 zahtjeva iz lokalnih zajednica</w:t>
      </w:r>
      <w:r>
        <w:rPr>
          <w:rFonts w:ascii="Arial" w:hAnsi="Arial" w:cs="Arial"/>
          <w:lang w:val="hr-HR"/>
        </w:rPr>
        <w:t>.</w:t>
      </w:r>
      <w:r w:rsidRPr="00D63F8C">
        <w:rPr>
          <w:rFonts w:ascii="Arial" w:hAnsi="Arial" w:cs="Arial"/>
          <w:lang w:val="hr-HR"/>
        </w:rPr>
        <w:t xml:space="preserve"> </w:t>
      </w:r>
      <w:r>
        <w:rPr>
          <w:rFonts w:ascii="Arial" w:hAnsi="Arial" w:cs="Arial"/>
        </w:rPr>
        <w:t>Z</w:t>
      </w:r>
      <w:r w:rsidRPr="00D63F8C">
        <w:rPr>
          <w:rFonts w:ascii="Arial" w:hAnsi="Arial" w:cs="Arial"/>
        </w:rPr>
        <w:t xml:space="preserve">ahtjevi </w:t>
      </w:r>
      <w:r>
        <w:rPr>
          <w:rFonts w:ascii="Arial" w:hAnsi="Arial" w:cs="Arial"/>
        </w:rPr>
        <w:t>obuhvatali Brčko Distrikt BiH,</w:t>
      </w:r>
      <w:r w:rsidRPr="00D63F8C">
        <w:rPr>
          <w:rFonts w:ascii="Arial" w:hAnsi="Arial" w:cs="Arial"/>
        </w:rPr>
        <w:t xml:space="preserve"> Tuzlu 2x, Posavski kanton, Lukavac, Odžak, Gradačac, Sapnu, Kalesiju, Nemilu, Maglaj, Orašje 3x, i Žepče</w:t>
      </w:r>
      <w:r>
        <w:rPr>
          <w:rFonts w:ascii="Arial" w:hAnsi="Arial" w:cs="Arial"/>
        </w:rPr>
        <w:t xml:space="preserve"> (u Federaciji BiH). U </w:t>
      </w:r>
      <w:r w:rsidRPr="00D63F8C">
        <w:rPr>
          <w:rFonts w:ascii="Arial" w:hAnsi="Arial" w:cs="Arial"/>
        </w:rPr>
        <w:t xml:space="preserve"> </w:t>
      </w:r>
      <w:r>
        <w:rPr>
          <w:rFonts w:ascii="Arial" w:hAnsi="Arial" w:cs="Arial"/>
        </w:rPr>
        <w:t>R</w:t>
      </w:r>
      <w:r w:rsidRPr="00D63F8C">
        <w:rPr>
          <w:rFonts w:ascii="Arial" w:hAnsi="Arial" w:cs="Arial"/>
        </w:rPr>
        <w:t xml:space="preserve">epublici </w:t>
      </w:r>
      <w:r>
        <w:rPr>
          <w:rFonts w:ascii="Arial" w:hAnsi="Arial" w:cs="Arial"/>
        </w:rPr>
        <w:t xml:space="preserve">Srpskoj, projektni zadaci su obuhvatali </w:t>
      </w:r>
      <w:r w:rsidRPr="00D63F8C">
        <w:rPr>
          <w:rFonts w:ascii="Arial" w:hAnsi="Arial" w:cs="Arial"/>
        </w:rPr>
        <w:t xml:space="preserve">Zvornik, Šekoviće, Lopare, Šamac, Doboj i Bijeljinu. Svi zahtjevi se zaprimaju </w:t>
      </w:r>
      <w:r>
        <w:rPr>
          <w:rFonts w:ascii="Arial" w:hAnsi="Arial" w:cs="Arial"/>
        </w:rPr>
        <w:t>i</w:t>
      </w:r>
      <w:r w:rsidRPr="00D63F8C">
        <w:rPr>
          <w:rFonts w:ascii="Arial" w:hAnsi="Arial" w:cs="Arial"/>
        </w:rPr>
        <w:t xml:space="preserve"> koordiniraju preko Operativno-komunikacijskog centra Ministarstva sigurnosti BiH</w:t>
      </w:r>
      <w:r>
        <w:rPr>
          <w:rFonts w:ascii="Arial" w:hAnsi="Arial" w:cs="Arial"/>
        </w:rPr>
        <w:t>, na osnovu prethodne verifikacije projektnih zahtjeva od strane Ministarstva odbrane BiH i Ministarsta sigurnosti BiH, a po prethodno opisanoj utvrđenoj liniji komuniciranja i koordinacije</w:t>
      </w:r>
      <w:r w:rsidRPr="00D63F8C">
        <w:rPr>
          <w:rFonts w:ascii="Arial" w:hAnsi="Arial" w:cs="Arial"/>
        </w:rPr>
        <w:t>.</w:t>
      </w:r>
    </w:p>
    <w:p w:rsidR="00A77D7C" w:rsidRDefault="00A77D7C" w:rsidP="00A77D7C">
      <w:pPr>
        <w:numPr>
          <w:ilvl w:val="0"/>
          <w:numId w:val="6"/>
        </w:numPr>
        <w:spacing w:before="120"/>
        <w:ind w:left="426"/>
        <w:jc w:val="both"/>
        <w:rPr>
          <w:rFonts w:ascii="Arial" w:hAnsi="Arial" w:cs="Arial"/>
          <w:lang w:val="hr-HR"/>
        </w:rPr>
      </w:pPr>
      <w:r w:rsidRPr="000C5AE1">
        <w:rPr>
          <w:rFonts w:ascii="Arial" w:hAnsi="Arial" w:cs="Arial"/>
          <w:u w:val="single"/>
          <w:lang w:val="hr-HR"/>
        </w:rPr>
        <w:t>pomoći u opre</w:t>
      </w:r>
      <w:r w:rsidR="0022386E">
        <w:rPr>
          <w:rFonts w:ascii="Arial" w:hAnsi="Arial" w:cs="Arial"/>
          <w:u w:val="single"/>
          <w:lang w:val="hr-HR"/>
        </w:rPr>
        <w:t>mi i finansijama</w:t>
      </w:r>
      <w:r w:rsidRPr="000C5AE1">
        <w:rPr>
          <w:rFonts w:ascii="Arial" w:hAnsi="Arial" w:cs="Arial"/>
          <w:u w:val="single"/>
          <w:lang w:val="hr-HR"/>
        </w:rPr>
        <w:t xml:space="preserve"> za hitnu fazu i fazu oporavka i obnove</w:t>
      </w:r>
      <w:r>
        <w:rPr>
          <w:rFonts w:ascii="Arial" w:hAnsi="Arial" w:cs="Arial"/>
          <w:lang w:val="hr-HR"/>
        </w:rPr>
        <w:t xml:space="preserve"> (SAD- USAID, Azerbejdžan, UAE, Norveška, Češka, Holandija, Luksemburg, UN agencije – UNDP, OCHA, UNICEF, i dr.).</w:t>
      </w:r>
    </w:p>
    <w:p w:rsidR="00A77D7C" w:rsidRPr="008B37D6" w:rsidRDefault="00A77D7C" w:rsidP="00A77D7C">
      <w:pPr>
        <w:spacing w:before="120"/>
        <w:ind w:left="426"/>
        <w:jc w:val="both"/>
        <w:rPr>
          <w:rFonts w:ascii="Arial" w:hAnsi="Arial" w:cs="Arial"/>
          <w:b/>
          <w:i/>
          <w:lang w:val="hr-HR"/>
        </w:rPr>
      </w:pPr>
      <w:r w:rsidRPr="008B37D6">
        <w:rPr>
          <w:rFonts w:ascii="Arial" w:hAnsi="Arial" w:cs="Arial"/>
          <w:b/>
          <w:i/>
          <w:lang w:val="hr-HR"/>
        </w:rPr>
        <w:t>Pregled primljene i raspoređene međunarodne pomoći predstavljen je na priloženoj mapi.</w:t>
      </w:r>
    </w:p>
    <w:p w:rsidR="00A77D7C" w:rsidRDefault="00A77D7C" w:rsidP="00A77D7C">
      <w:pPr>
        <w:spacing w:before="120"/>
        <w:ind w:left="426"/>
        <w:jc w:val="both"/>
        <w:rPr>
          <w:rFonts w:ascii="Arial" w:hAnsi="Arial" w:cs="Arial"/>
          <w:lang w:val="hr-HR"/>
        </w:rPr>
      </w:pPr>
      <w:r>
        <w:rPr>
          <w:rFonts w:ascii="Arial" w:hAnsi="Arial" w:cs="Arial"/>
          <w:noProof/>
          <w:lang w:val="bs-Latn-BA" w:eastAsia="bs-Latn-BA"/>
        </w:rPr>
        <w:drawing>
          <wp:inline distT="0" distB="0" distL="0" distR="0">
            <wp:extent cx="4676775" cy="4543425"/>
            <wp:effectExtent l="0" t="0" r="9525" b="9525"/>
            <wp:docPr id="1" name="Picture 1" descr="Međunarodna pomoć_stanje, 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đunarodna pomoć_stanje, 0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6775" cy="4543425"/>
                    </a:xfrm>
                    <a:prstGeom prst="rect">
                      <a:avLst/>
                    </a:prstGeom>
                    <a:noFill/>
                    <a:ln>
                      <a:noFill/>
                    </a:ln>
                  </pic:spPr>
                </pic:pic>
              </a:graphicData>
            </a:graphic>
          </wp:inline>
        </w:drawing>
      </w:r>
    </w:p>
    <w:p w:rsidR="00A77D7C" w:rsidRPr="000D1615" w:rsidRDefault="00A77D7C" w:rsidP="00A77D7C">
      <w:pPr>
        <w:pStyle w:val="ListParagraph"/>
        <w:numPr>
          <w:ilvl w:val="0"/>
          <w:numId w:val="0"/>
        </w:numPr>
        <w:spacing w:before="120"/>
        <w:contextualSpacing w:val="0"/>
        <w:rPr>
          <w:rFonts w:cs="Arial"/>
          <w:b/>
        </w:rPr>
      </w:pPr>
      <w:r w:rsidRPr="000D1615">
        <w:rPr>
          <w:rFonts w:cs="Arial"/>
          <w:b/>
        </w:rPr>
        <w:lastRenderedPageBreak/>
        <w:t>Komentari:</w:t>
      </w:r>
    </w:p>
    <w:p w:rsidR="00A77D7C" w:rsidRDefault="00A77D7C" w:rsidP="00A77D7C">
      <w:pPr>
        <w:pStyle w:val="ListParagraph"/>
        <w:numPr>
          <w:ilvl w:val="0"/>
          <w:numId w:val="3"/>
        </w:numPr>
        <w:spacing w:before="120"/>
        <w:ind w:left="426"/>
        <w:contextualSpacing w:val="0"/>
        <w:rPr>
          <w:rFonts w:cs="Arial"/>
        </w:rPr>
      </w:pPr>
      <w:r>
        <w:rPr>
          <w:rFonts w:cs="Arial"/>
        </w:rPr>
        <w:t>E</w:t>
      </w:r>
      <w:r w:rsidR="00ED5D91">
        <w:rPr>
          <w:rFonts w:cs="Arial"/>
        </w:rPr>
        <w:t>v</w:t>
      </w:r>
      <w:r>
        <w:rPr>
          <w:rFonts w:cs="Arial"/>
        </w:rPr>
        <w:t>ropska komisija je na osnovu ocjena međunarodnih timova koji su pružali pomoć BiH i predstavnika tima CZ EU visokim ocjenama ocjenila Ministarstvo sigurnosti BIH u primjeni mehanizma podrške države domaćina, čak većim od susjedne Srbije, također pogođene poplavama katastrofalnih razmjera;</w:t>
      </w:r>
    </w:p>
    <w:p w:rsidR="00A77D7C" w:rsidRDefault="00A77D7C" w:rsidP="00A77D7C">
      <w:pPr>
        <w:pStyle w:val="ListParagraph"/>
        <w:numPr>
          <w:ilvl w:val="0"/>
          <w:numId w:val="3"/>
        </w:numPr>
        <w:spacing w:before="120"/>
        <w:ind w:left="426"/>
        <w:contextualSpacing w:val="0"/>
        <w:rPr>
          <w:rFonts w:cs="Arial"/>
        </w:rPr>
      </w:pPr>
      <w:r>
        <w:rPr>
          <w:rFonts w:cs="Arial"/>
        </w:rPr>
        <w:t xml:space="preserve">Prijatno iznenađenje visokom profesionalnošću službenika Ministarstva sigurnosti BiH i dobrom organizacijom prihvata i terenske kordinacije upotrebe tima na poplavljenom području, nisu skrivali ni predstavnici Ambasade Velike Britanije u Bosni i Hercegovini (jedan britanski tim od 33 spasioca na vodi, sa 4 čamca i 2 kajaka, je bio razmješten u Bijeljini).   </w:t>
      </w:r>
    </w:p>
    <w:p w:rsidR="00A77D7C" w:rsidRDefault="00A77D7C" w:rsidP="00A77D7C">
      <w:pPr>
        <w:pStyle w:val="ListParagraph"/>
        <w:numPr>
          <w:ilvl w:val="0"/>
          <w:numId w:val="3"/>
        </w:numPr>
        <w:spacing w:before="120"/>
        <w:ind w:left="426"/>
        <w:contextualSpacing w:val="0"/>
        <w:rPr>
          <w:rFonts w:cs="Arial"/>
        </w:rPr>
      </w:pPr>
      <w:r>
        <w:rPr>
          <w:rFonts w:cs="Arial"/>
        </w:rPr>
        <w:t>Po ocjenama predstavnika tima CZ EU ovo je najveća misija EU kroz mehanizam od njegovog uspostavljanja (od 2001. godine).</w:t>
      </w:r>
    </w:p>
    <w:p w:rsidR="00A77D7C" w:rsidRDefault="00A77D7C" w:rsidP="00A77D7C">
      <w:pPr>
        <w:pStyle w:val="ListParagraph"/>
        <w:numPr>
          <w:ilvl w:val="0"/>
          <w:numId w:val="0"/>
        </w:numPr>
        <w:spacing w:before="120"/>
        <w:contextualSpacing w:val="0"/>
        <w:rPr>
          <w:rFonts w:cs="Arial"/>
        </w:rPr>
      </w:pPr>
      <w:r>
        <w:rPr>
          <w:rFonts w:cs="Arial"/>
        </w:rPr>
        <w:t xml:space="preserve"> </w:t>
      </w:r>
    </w:p>
    <w:p w:rsidR="00FC15A4" w:rsidRDefault="00FC15A4"/>
    <w:p w:rsidR="00ED5D91" w:rsidRPr="00ED5D91" w:rsidRDefault="00ED5D91">
      <w:pPr>
        <w:rPr>
          <w:rFonts w:ascii="Arial" w:hAnsi="Arial" w:cs="Arial"/>
        </w:rPr>
      </w:pPr>
      <w:r w:rsidRPr="00ED5D91">
        <w:rPr>
          <w:rFonts w:ascii="Arial" w:hAnsi="Arial" w:cs="Arial"/>
          <w:b/>
          <w:u w:val="single"/>
        </w:rPr>
        <w:t>Napomena</w:t>
      </w:r>
      <w:r>
        <w:rPr>
          <w:rFonts w:ascii="Arial" w:hAnsi="Arial" w:cs="Arial"/>
          <w:b/>
          <w:u w:val="single"/>
        </w:rPr>
        <w:t xml:space="preserve">: </w:t>
      </w:r>
      <w:r>
        <w:rPr>
          <w:rFonts w:ascii="Arial" w:hAnsi="Arial" w:cs="Arial"/>
        </w:rPr>
        <w:t xml:space="preserve">Izvještaj </w:t>
      </w:r>
      <w:r w:rsidR="007E4125">
        <w:rPr>
          <w:rFonts w:ascii="Arial" w:hAnsi="Arial" w:cs="Arial"/>
        </w:rPr>
        <w:t>obuhvata period do 16.06.2014. godine</w:t>
      </w:r>
    </w:p>
    <w:sectPr w:rsidR="00ED5D91" w:rsidRPr="00ED5D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2CF" w:rsidRDefault="008C62CF" w:rsidP="00A77D7C">
      <w:r>
        <w:separator/>
      </w:r>
    </w:p>
  </w:endnote>
  <w:endnote w:type="continuationSeparator" w:id="0">
    <w:p w:rsidR="008C62CF" w:rsidRDefault="008C62CF" w:rsidP="00A7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2CF" w:rsidRDefault="008C62CF" w:rsidP="00A77D7C">
      <w:r>
        <w:separator/>
      </w:r>
    </w:p>
  </w:footnote>
  <w:footnote w:type="continuationSeparator" w:id="0">
    <w:p w:rsidR="008C62CF" w:rsidRDefault="008C62CF" w:rsidP="00A77D7C">
      <w:r>
        <w:continuationSeparator/>
      </w:r>
    </w:p>
  </w:footnote>
  <w:footnote w:id="1">
    <w:p w:rsidR="00A77D7C" w:rsidRPr="008B767B" w:rsidRDefault="00A77D7C" w:rsidP="00A77D7C">
      <w:pPr>
        <w:pStyle w:val="FootnoteText"/>
        <w:rPr>
          <w:rFonts w:ascii="Arial" w:hAnsi="Arial" w:cs="Arial"/>
        </w:rPr>
      </w:pPr>
      <w:r>
        <w:rPr>
          <w:rStyle w:val="FootnoteReference"/>
        </w:rPr>
        <w:footnoteRef/>
      </w:r>
      <w:r>
        <w:t xml:space="preserve"> </w:t>
      </w:r>
      <w:r>
        <w:rPr>
          <w:lang w:val="bs-Latn-BA"/>
        </w:rPr>
        <w:t xml:space="preserve">  </w:t>
      </w:r>
      <w:r w:rsidRPr="008B767B">
        <w:rPr>
          <w:rFonts w:ascii="Arial" w:hAnsi="Arial" w:cs="Arial"/>
        </w:rPr>
        <w:t>Detaljne i precizne ažurirane zvanične podatke posjeduju Ministarstvo odbrane i OS BiH.</w:t>
      </w:r>
    </w:p>
  </w:footnote>
  <w:footnote w:id="2">
    <w:p w:rsidR="00A77D7C" w:rsidRPr="008B767B" w:rsidRDefault="00A77D7C" w:rsidP="00A77D7C">
      <w:pPr>
        <w:pStyle w:val="FootnoteText"/>
        <w:ind w:left="284" w:hanging="284"/>
        <w:rPr>
          <w:rFonts w:ascii="Arial" w:hAnsi="Arial" w:cs="Arial"/>
        </w:rPr>
      </w:pPr>
      <w:r w:rsidRPr="008B767B">
        <w:rPr>
          <w:rStyle w:val="FootnoteReference"/>
        </w:rPr>
        <w:footnoteRef/>
      </w:r>
      <w:r w:rsidRPr="008B767B">
        <w:rPr>
          <w:rFonts w:ascii="Arial" w:hAnsi="Arial" w:cs="Arial"/>
        </w:rPr>
        <w:t xml:space="preserve"> </w:t>
      </w:r>
      <w:r>
        <w:rPr>
          <w:rFonts w:ascii="Arial" w:hAnsi="Arial" w:cs="Arial"/>
        </w:rPr>
        <w:t xml:space="preserve"> </w:t>
      </w:r>
      <w:r w:rsidRPr="008B767B">
        <w:rPr>
          <w:rFonts w:ascii="Arial" w:hAnsi="Arial" w:cs="Arial"/>
        </w:rPr>
        <w:t>Po nezvaničnim ažuriranim podacima OS BiH oficira za vezu u OKC BiH- 112</w:t>
      </w:r>
      <w:r>
        <w:rPr>
          <w:rFonts w:ascii="Arial" w:hAnsi="Arial" w:cs="Arial"/>
        </w:rPr>
        <w:t xml:space="preserve"> za period 15.- 28. 05.2014. godine, podaci od 16.06.2014.god</w:t>
      </w:r>
      <w:r w:rsidRPr="008B767B">
        <w:rPr>
          <w:rFonts w:ascii="Arial" w:hAnsi="Arial" w:cs="Arial"/>
        </w:rPr>
        <w:t>.</w:t>
      </w:r>
    </w:p>
  </w:footnote>
  <w:footnote w:id="3">
    <w:p w:rsidR="00A77D7C" w:rsidRPr="00871771" w:rsidRDefault="00A77D7C" w:rsidP="00A77D7C">
      <w:pPr>
        <w:pStyle w:val="FootnoteText"/>
        <w:rPr>
          <w:rFonts w:ascii="Arial" w:hAnsi="Arial" w:cs="Arial"/>
        </w:rPr>
      </w:pPr>
      <w:r w:rsidRPr="00871771">
        <w:rPr>
          <w:rStyle w:val="FootnoteReference"/>
          <w:rFonts w:ascii="Arial" w:hAnsi="Arial" w:cs="Arial"/>
        </w:rPr>
        <w:footnoteRef/>
      </w:r>
      <w:r w:rsidRPr="00871771">
        <w:rPr>
          <w:rFonts w:ascii="Arial" w:hAnsi="Arial" w:cs="Arial"/>
        </w:rPr>
        <w:t xml:space="preserve"> </w:t>
      </w:r>
      <w:r>
        <w:rPr>
          <w:rFonts w:ascii="Arial" w:hAnsi="Arial" w:cs="Arial"/>
        </w:rPr>
        <w:t xml:space="preserve"> </w:t>
      </w:r>
      <w:r w:rsidRPr="00871771">
        <w:rPr>
          <w:rFonts w:ascii="Arial" w:hAnsi="Arial" w:cs="Arial"/>
        </w:rPr>
        <w:t>Uključuj</w:t>
      </w:r>
      <w:r>
        <w:rPr>
          <w:rFonts w:ascii="Arial" w:hAnsi="Arial" w:cs="Arial"/>
        </w:rPr>
        <w:t>e evakuaciju i podizanje korpom.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2BFD"/>
    <w:multiLevelType w:val="hybridMultilevel"/>
    <w:tmpl w:val="D5AEF9B0"/>
    <w:lvl w:ilvl="0" w:tplc="9DFC6AA6">
      <w:numFmt w:val="bullet"/>
      <w:lvlText w:val="-"/>
      <w:lvlJc w:val="left"/>
      <w:pPr>
        <w:ind w:left="720" w:hanging="360"/>
      </w:pPr>
      <w:rPr>
        <w:rFonts w:ascii="Arial" w:eastAsia="Times New Roman" w:hAnsi="Arial" w:cs="Aria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
    <w:nsid w:val="13D9265B"/>
    <w:multiLevelType w:val="hybridMultilevel"/>
    <w:tmpl w:val="68FCEDE2"/>
    <w:lvl w:ilvl="0" w:tplc="141A0017">
      <w:start w:val="1"/>
      <w:numFmt w:val="lowerLetter"/>
      <w:lvlText w:val="%1)"/>
      <w:lvlJc w:val="left"/>
      <w:pPr>
        <w:ind w:left="720" w:hanging="360"/>
      </w:pPr>
      <w:rPr>
        <w:rFont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nsid w:val="3307488B"/>
    <w:multiLevelType w:val="hybridMultilevel"/>
    <w:tmpl w:val="E0FE2C7E"/>
    <w:lvl w:ilvl="0" w:tplc="59D6C362">
      <w:start w:val="1"/>
      <w:numFmt w:val="lowerLetter"/>
      <w:lvlText w:val="%1)"/>
      <w:lvlJc w:val="left"/>
      <w:pPr>
        <w:ind w:left="720" w:hanging="360"/>
      </w:pPr>
      <w:rPr>
        <w:rFonts w:cs="Arial" w:hint="default"/>
        <w:b/>
        <w:i/>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nsid w:val="49057959"/>
    <w:multiLevelType w:val="hybridMultilevel"/>
    <w:tmpl w:val="5DD8A50C"/>
    <w:lvl w:ilvl="0" w:tplc="141A0017">
      <w:start w:val="1"/>
      <w:numFmt w:val="lowerLetter"/>
      <w:lvlText w:val="%1)"/>
      <w:lvlJc w:val="left"/>
      <w:pPr>
        <w:ind w:left="720" w:hanging="360"/>
      </w:pPr>
      <w:rPr>
        <w:rFont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nsid w:val="624B2FC3"/>
    <w:multiLevelType w:val="hybridMultilevel"/>
    <w:tmpl w:val="0F6E3D20"/>
    <w:lvl w:ilvl="0" w:tplc="66286F8A">
      <w:start w:val="1"/>
      <w:numFmt w:val="decimal"/>
      <w:pStyle w:val="ListParagraph"/>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nsid w:val="764A57BE"/>
    <w:multiLevelType w:val="multilevel"/>
    <w:tmpl w:val="6F9E6E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D7C"/>
    <w:rsid w:val="0022386E"/>
    <w:rsid w:val="00635C32"/>
    <w:rsid w:val="007074EA"/>
    <w:rsid w:val="007B4D0C"/>
    <w:rsid w:val="007E4125"/>
    <w:rsid w:val="00836840"/>
    <w:rsid w:val="008C62CF"/>
    <w:rsid w:val="00A02ABA"/>
    <w:rsid w:val="00A77D7C"/>
    <w:rsid w:val="00BF22EB"/>
    <w:rsid w:val="00DB696C"/>
    <w:rsid w:val="00E019AF"/>
    <w:rsid w:val="00ED5D91"/>
    <w:rsid w:val="00FC1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D7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77D7C"/>
    <w:pPr>
      <w:keepNext/>
      <w:jc w:val="center"/>
      <w:outlineLvl w:val="0"/>
    </w:pPr>
    <w:rPr>
      <w:rFonts w:eastAsia="Arial Unicode MS"/>
      <w:i/>
      <w:i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D7C"/>
    <w:rPr>
      <w:rFonts w:ascii="Times New Roman" w:eastAsia="Arial Unicode MS" w:hAnsi="Times New Roman" w:cs="Times New Roman"/>
      <w:i/>
      <w:iCs/>
      <w:sz w:val="24"/>
      <w:szCs w:val="24"/>
      <w:lang w:val="sr-Cyrl-CS"/>
    </w:rPr>
  </w:style>
  <w:style w:type="paragraph" w:styleId="ListParagraph">
    <w:name w:val="List Paragraph"/>
    <w:basedOn w:val="Normal"/>
    <w:link w:val="ListParagraphChar"/>
    <w:uiPriority w:val="34"/>
    <w:qFormat/>
    <w:rsid w:val="00A77D7C"/>
    <w:pPr>
      <w:numPr>
        <w:numId w:val="1"/>
      </w:numPr>
      <w:contextualSpacing/>
      <w:jc w:val="both"/>
    </w:pPr>
    <w:rPr>
      <w:rFonts w:ascii="Arial" w:hAnsi="Arial"/>
      <w:lang w:val="hr-HR"/>
    </w:rPr>
  </w:style>
  <w:style w:type="paragraph" w:styleId="FootnoteText">
    <w:name w:val="footnote text"/>
    <w:basedOn w:val="Normal"/>
    <w:link w:val="FootnoteTextChar"/>
    <w:uiPriority w:val="99"/>
    <w:rsid w:val="00A77D7C"/>
    <w:rPr>
      <w:sz w:val="20"/>
      <w:szCs w:val="20"/>
    </w:rPr>
  </w:style>
  <w:style w:type="character" w:customStyle="1" w:styleId="FootnoteTextChar">
    <w:name w:val="Footnote Text Char"/>
    <w:basedOn w:val="DefaultParagraphFont"/>
    <w:link w:val="FootnoteText"/>
    <w:uiPriority w:val="99"/>
    <w:rsid w:val="00A77D7C"/>
    <w:rPr>
      <w:rFonts w:ascii="Times New Roman" w:eastAsia="Times New Roman" w:hAnsi="Times New Roman" w:cs="Times New Roman"/>
      <w:sz w:val="20"/>
      <w:szCs w:val="20"/>
      <w:lang w:val="en-GB"/>
    </w:rPr>
  </w:style>
  <w:style w:type="character" w:styleId="FootnoteReference">
    <w:name w:val="footnote reference"/>
    <w:uiPriority w:val="99"/>
    <w:rsid w:val="00A77D7C"/>
    <w:rPr>
      <w:vertAlign w:val="superscript"/>
    </w:rPr>
  </w:style>
  <w:style w:type="character" w:customStyle="1" w:styleId="ListParagraphChar">
    <w:name w:val="List Paragraph Char"/>
    <w:link w:val="ListParagraph"/>
    <w:uiPriority w:val="34"/>
    <w:locked/>
    <w:rsid w:val="00A77D7C"/>
    <w:rPr>
      <w:rFonts w:ascii="Arial" w:eastAsia="Times New Roman" w:hAnsi="Arial" w:cs="Times New Roman"/>
      <w:sz w:val="24"/>
      <w:szCs w:val="24"/>
      <w:lang w:val="hr-HR"/>
    </w:rPr>
  </w:style>
  <w:style w:type="paragraph" w:styleId="BalloonText">
    <w:name w:val="Balloon Text"/>
    <w:basedOn w:val="Normal"/>
    <w:link w:val="BalloonTextChar"/>
    <w:uiPriority w:val="99"/>
    <w:semiHidden/>
    <w:unhideWhenUsed/>
    <w:rsid w:val="00A77D7C"/>
    <w:rPr>
      <w:rFonts w:ascii="Tahoma" w:hAnsi="Tahoma" w:cs="Tahoma"/>
      <w:sz w:val="16"/>
      <w:szCs w:val="16"/>
    </w:rPr>
  </w:style>
  <w:style w:type="character" w:customStyle="1" w:styleId="BalloonTextChar">
    <w:name w:val="Balloon Text Char"/>
    <w:basedOn w:val="DefaultParagraphFont"/>
    <w:link w:val="BalloonText"/>
    <w:uiPriority w:val="99"/>
    <w:semiHidden/>
    <w:rsid w:val="00A77D7C"/>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D7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77D7C"/>
    <w:pPr>
      <w:keepNext/>
      <w:jc w:val="center"/>
      <w:outlineLvl w:val="0"/>
    </w:pPr>
    <w:rPr>
      <w:rFonts w:eastAsia="Arial Unicode MS"/>
      <w:i/>
      <w:i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D7C"/>
    <w:rPr>
      <w:rFonts w:ascii="Times New Roman" w:eastAsia="Arial Unicode MS" w:hAnsi="Times New Roman" w:cs="Times New Roman"/>
      <w:i/>
      <w:iCs/>
      <w:sz w:val="24"/>
      <w:szCs w:val="24"/>
      <w:lang w:val="sr-Cyrl-CS"/>
    </w:rPr>
  </w:style>
  <w:style w:type="paragraph" w:styleId="ListParagraph">
    <w:name w:val="List Paragraph"/>
    <w:basedOn w:val="Normal"/>
    <w:link w:val="ListParagraphChar"/>
    <w:uiPriority w:val="34"/>
    <w:qFormat/>
    <w:rsid w:val="00A77D7C"/>
    <w:pPr>
      <w:numPr>
        <w:numId w:val="1"/>
      </w:numPr>
      <w:contextualSpacing/>
      <w:jc w:val="both"/>
    </w:pPr>
    <w:rPr>
      <w:rFonts w:ascii="Arial" w:hAnsi="Arial"/>
      <w:lang w:val="hr-HR"/>
    </w:rPr>
  </w:style>
  <w:style w:type="paragraph" w:styleId="FootnoteText">
    <w:name w:val="footnote text"/>
    <w:basedOn w:val="Normal"/>
    <w:link w:val="FootnoteTextChar"/>
    <w:uiPriority w:val="99"/>
    <w:rsid w:val="00A77D7C"/>
    <w:rPr>
      <w:sz w:val="20"/>
      <w:szCs w:val="20"/>
    </w:rPr>
  </w:style>
  <w:style w:type="character" w:customStyle="1" w:styleId="FootnoteTextChar">
    <w:name w:val="Footnote Text Char"/>
    <w:basedOn w:val="DefaultParagraphFont"/>
    <w:link w:val="FootnoteText"/>
    <w:uiPriority w:val="99"/>
    <w:rsid w:val="00A77D7C"/>
    <w:rPr>
      <w:rFonts w:ascii="Times New Roman" w:eastAsia="Times New Roman" w:hAnsi="Times New Roman" w:cs="Times New Roman"/>
      <w:sz w:val="20"/>
      <w:szCs w:val="20"/>
      <w:lang w:val="en-GB"/>
    </w:rPr>
  </w:style>
  <w:style w:type="character" w:styleId="FootnoteReference">
    <w:name w:val="footnote reference"/>
    <w:uiPriority w:val="99"/>
    <w:rsid w:val="00A77D7C"/>
    <w:rPr>
      <w:vertAlign w:val="superscript"/>
    </w:rPr>
  </w:style>
  <w:style w:type="character" w:customStyle="1" w:styleId="ListParagraphChar">
    <w:name w:val="List Paragraph Char"/>
    <w:link w:val="ListParagraph"/>
    <w:uiPriority w:val="34"/>
    <w:locked/>
    <w:rsid w:val="00A77D7C"/>
    <w:rPr>
      <w:rFonts w:ascii="Arial" w:eastAsia="Times New Roman" w:hAnsi="Arial" w:cs="Times New Roman"/>
      <w:sz w:val="24"/>
      <w:szCs w:val="24"/>
      <w:lang w:val="hr-HR"/>
    </w:rPr>
  </w:style>
  <w:style w:type="paragraph" w:styleId="BalloonText">
    <w:name w:val="Balloon Text"/>
    <w:basedOn w:val="Normal"/>
    <w:link w:val="BalloonTextChar"/>
    <w:uiPriority w:val="99"/>
    <w:semiHidden/>
    <w:unhideWhenUsed/>
    <w:rsid w:val="00A77D7C"/>
    <w:rPr>
      <w:rFonts w:ascii="Tahoma" w:hAnsi="Tahoma" w:cs="Tahoma"/>
      <w:sz w:val="16"/>
      <w:szCs w:val="16"/>
    </w:rPr>
  </w:style>
  <w:style w:type="character" w:customStyle="1" w:styleId="BalloonTextChar">
    <w:name w:val="Balloon Text Char"/>
    <w:basedOn w:val="DefaultParagraphFont"/>
    <w:link w:val="BalloonText"/>
    <w:uiPriority w:val="99"/>
    <w:semiHidden/>
    <w:rsid w:val="00A77D7C"/>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1851</Words>
  <Characters>10552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Edina</dc:creator>
  <cp:lastModifiedBy>operater</cp:lastModifiedBy>
  <cp:revision>2</cp:revision>
  <dcterms:created xsi:type="dcterms:W3CDTF">2014-10-14T15:26:00Z</dcterms:created>
  <dcterms:modified xsi:type="dcterms:W3CDTF">2014-10-14T15:26:00Z</dcterms:modified>
</cp:coreProperties>
</file>